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915"/>
        <w:gridCol w:w="718"/>
      </w:tblGrid>
      <w:tr w:rsidR="00AB2F8C" w14:paraId="0CC713D3" w14:textId="77777777" w:rsidTr="002F1BB7">
        <w:trPr>
          <w:trHeight w:val="432"/>
        </w:trPr>
        <w:tc>
          <w:tcPr>
            <w:tcW w:w="384" w:type="pct"/>
            <w:tcBorders>
              <w:top w:val="single" w:sz="2" w:space="0" w:color="969696"/>
              <w:left w:val="single" w:sz="2" w:space="0" w:color="969696"/>
              <w:bottom w:val="nil"/>
              <w:right w:val="nil"/>
            </w:tcBorders>
            <w:shd w:val="clear" w:color="auto" w:fill="262626" w:themeFill="text1" w:themeFillTint="D9"/>
          </w:tcPr>
          <w:p w14:paraId="32C8246E" w14:textId="0B893AD5" w:rsidR="00AB2F8C" w:rsidRDefault="00AB2F8C" w:rsidP="002F1BB7"/>
        </w:tc>
        <w:tc>
          <w:tcPr>
            <w:tcW w:w="4232" w:type="pct"/>
            <w:tcBorders>
              <w:top w:val="single" w:sz="2" w:space="0" w:color="969696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432A569E" w14:textId="03518016" w:rsidR="00AB2F8C" w:rsidRDefault="003A26E1" w:rsidP="003A26E1">
            <w:pPr>
              <w:pStyle w:val="ATAModuleTitle"/>
            </w:pPr>
            <w:r>
              <w:t>Guide pratique 16.2 : Étude de cas sur le marathon de Boston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4A49D040" w14:textId="77777777" w:rsidR="00AB2F8C" w:rsidRDefault="00AB2F8C" w:rsidP="002F1BB7"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27ACFC3" wp14:editId="1FE410FD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-3175</wp:posOffset>
                  </wp:positionV>
                  <wp:extent cx="269875" cy="274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5040B2" w14:textId="77777777" w:rsidR="00AB2F8C" w:rsidRDefault="00AB2F8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545859" w:rsidRPr="00115B58" w14:paraId="6FAEC5B9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3DCECB99" w14:textId="77777777" w:rsidR="00545859" w:rsidRPr="00551CE8" w:rsidRDefault="00545859" w:rsidP="002F1BB7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shd w:val="clear" w:color="auto" w:fill="auto"/>
          </w:tcPr>
          <w:p w14:paraId="41658BBE" w14:textId="05265F56" w:rsidR="00545859" w:rsidRPr="00115B58" w:rsidRDefault="00545859" w:rsidP="0071116F">
            <w:pPr>
              <w:pStyle w:val="ATABody"/>
            </w:pPr>
            <w:r>
              <w:t>Identifier les méthodes employées par les forces de l’ordre pour communiquer des informations au public.</w:t>
            </w:r>
          </w:p>
        </w:tc>
      </w:tr>
      <w:tr w:rsidR="00683C92" w:rsidRPr="00115B58" w14:paraId="10007E4C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0394DF8C" w14:textId="3795F6F6" w:rsidR="00683C92" w:rsidRPr="00551CE8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shd w:val="clear" w:color="auto" w:fill="auto"/>
          </w:tcPr>
          <w:p w14:paraId="0150B370" w14:textId="079B21CC" w:rsidR="00683C92" w:rsidRDefault="00683C92" w:rsidP="0071116F">
            <w:pPr>
              <w:pStyle w:val="ATABody"/>
            </w:pPr>
            <w:r>
              <w:t>30 minutes (15 min pour l’activité et 15 min de discussion)</w:t>
            </w:r>
          </w:p>
        </w:tc>
      </w:tr>
      <w:tr w:rsidR="00683C92" w:rsidRPr="00115B58" w14:paraId="615ACED2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4053A5FD" w14:textId="67ED741F" w:rsidR="00683C92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shd w:val="clear" w:color="auto" w:fill="auto"/>
          </w:tcPr>
          <w:p w14:paraId="6413A982" w14:textId="7E59C9BF" w:rsidR="00683C92" w:rsidRDefault="00645DF9" w:rsidP="0071116F">
            <w:pPr>
              <w:pStyle w:val="ATABody"/>
            </w:pPr>
            <w:r>
              <w:t>Grand groupe</w:t>
            </w:r>
          </w:p>
        </w:tc>
      </w:tr>
      <w:tr w:rsidR="00683C92" w:rsidRPr="00115B58" w14:paraId="617DF4C6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6534CD8C" w14:textId="388BC1CC" w:rsidR="00683C92" w:rsidRDefault="00683C92" w:rsidP="002F1BB7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shd w:val="clear" w:color="auto" w:fill="auto"/>
          </w:tcPr>
          <w:p w14:paraId="35BE52DF" w14:textId="705324B2" w:rsidR="00683C92" w:rsidRDefault="00645DF9" w:rsidP="0071116F">
            <w:pPr>
              <w:pStyle w:val="ATABody"/>
            </w:pPr>
            <w:r>
              <w:t>Discussion en grand groupe</w:t>
            </w:r>
          </w:p>
        </w:tc>
      </w:tr>
      <w:tr w:rsidR="00645DF9" w:rsidRPr="00115B58" w14:paraId="7B848E87" w14:textId="77777777" w:rsidTr="00683C92">
        <w:trPr>
          <w:cantSplit/>
        </w:trPr>
        <w:tc>
          <w:tcPr>
            <w:tcW w:w="1500" w:type="pct"/>
            <w:shd w:val="clear" w:color="auto" w:fill="auto"/>
          </w:tcPr>
          <w:p w14:paraId="0265480D" w14:textId="6735BB8F" w:rsidR="00645DF9" w:rsidRDefault="00645DF9" w:rsidP="002F1BB7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0" w:type="pct"/>
            <w:shd w:val="clear" w:color="auto" w:fill="auto"/>
          </w:tcPr>
          <w:p w14:paraId="0289CCDB" w14:textId="6CDD1784" w:rsidR="00645DF9" w:rsidRDefault="00645DF9" w:rsidP="0071116F">
            <w:pPr>
              <w:pStyle w:val="ATABody"/>
            </w:pPr>
            <w:r>
              <w:t>Sans objet</w:t>
            </w:r>
          </w:p>
        </w:tc>
      </w:tr>
    </w:tbl>
    <w:p w14:paraId="1EE431E9" w14:textId="58376D95" w:rsidR="005D7DDF" w:rsidRDefault="005D7DDF" w:rsidP="00545859">
      <w:pPr>
        <w:pStyle w:val="ATABody"/>
        <w:rPr>
          <w:rStyle w:val="ATAEmphasis"/>
        </w:rPr>
      </w:pPr>
    </w:p>
    <w:p w14:paraId="7CE10400" w14:textId="4A839F3B" w:rsidR="3D0BD8EE" w:rsidRDefault="3D0BD8EE" w:rsidP="3D0BD8EE">
      <w:pPr>
        <w:pStyle w:val="ATABody"/>
        <w:rPr>
          <w:rStyle w:val="ATAEmphasis"/>
        </w:rPr>
      </w:pPr>
    </w:p>
    <w:p w14:paraId="6173E0E4" w14:textId="49438945" w:rsidR="00683C92" w:rsidRDefault="00683C92" w:rsidP="00545859">
      <w:pPr>
        <w:pStyle w:val="ATABody"/>
        <w:rPr>
          <w:rStyle w:val="ATAEmphasis"/>
        </w:rPr>
      </w:pPr>
      <w:r>
        <w:rPr>
          <w:rStyle w:val="ATAEmphasis"/>
        </w:rPr>
        <w:t>Consignes :</w:t>
      </w:r>
    </w:p>
    <w:p w14:paraId="3EF5EA11" w14:textId="3751FCA4" w:rsidR="00683C92" w:rsidRDefault="00683C92" w:rsidP="00683C92">
      <w:pPr>
        <w:pStyle w:val="ATABody"/>
        <w:numPr>
          <w:ilvl w:val="0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Lisez l'étude de cas ci-dessous.</w:t>
      </w:r>
    </w:p>
    <w:p w14:paraId="02B92B6A" w14:textId="1FBD7A42" w:rsidR="00966E67" w:rsidRDefault="00966E67" w:rsidP="00683C92">
      <w:pPr>
        <w:pStyle w:val="ATABody"/>
        <w:numPr>
          <w:ilvl w:val="0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Répondez aux deux questions suivantes :</w:t>
      </w:r>
    </w:p>
    <w:p w14:paraId="65902FB6" w14:textId="6E44D13F" w:rsidR="00966E67" w:rsidRPr="00966E67" w:rsidRDefault="00966E67" w:rsidP="00966E67">
      <w:pPr>
        <w:pStyle w:val="ATABody"/>
        <w:numPr>
          <w:ilvl w:val="1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Quelles méthodes les forces de l’ordre ont-elles employées pour communiquer les informations au public ?</w:t>
      </w:r>
    </w:p>
    <w:p w14:paraId="67833AF9" w14:textId="05826C76" w:rsidR="00966E67" w:rsidRPr="00966E67" w:rsidRDefault="00966E67" w:rsidP="00966E67">
      <w:pPr>
        <w:pStyle w:val="ATABody"/>
        <w:numPr>
          <w:ilvl w:val="1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Quel rôle l’agent de l'information publique a-t-il joué ?</w:t>
      </w:r>
    </w:p>
    <w:p w14:paraId="7E4B783F" w14:textId="5DBA350A" w:rsidR="00683C92" w:rsidRDefault="00683C92" w:rsidP="00683C92">
      <w:pPr>
        <w:pStyle w:val="ATABody"/>
        <w:numPr>
          <w:ilvl w:val="0"/>
          <w:numId w:val="38"/>
        </w:numPr>
        <w:rPr>
          <w:rStyle w:val="ATAEmphasis"/>
          <w:b w:val="0"/>
        </w:rPr>
      </w:pPr>
      <w:r>
        <w:rPr>
          <w:rStyle w:val="ATAEmphasis"/>
          <w:b w:val="0"/>
        </w:rPr>
        <w:t>Désignez un porte-parole pour votre groupe et préparez-vous à présenter vos constatations.</w:t>
      </w:r>
    </w:p>
    <w:p w14:paraId="658ADDDD" w14:textId="5E2926CC" w:rsidR="00683C92" w:rsidRPr="00683C92" w:rsidRDefault="00683C92" w:rsidP="3D0BD8EE">
      <w:pPr>
        <w:pStyle w:val="ATABody"/>
        <w:rPr>
          <w:rStyle w:val="ATAEmphasis"/>
          <w:b w:val="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4"/>
        <w:gridCol w:w="6756"/>
      </w:tblGrid>
      <w:tr w:rsidR="00C70A7E" w14:paraId="57683C11" w14:textId="77777777" w:rsidTr="3D0BD8EE">
        <w:tc>
          <w:tcPr>
            <w:tcW w:w="9576" w:type="dxa"/>
            <w:gridSpan w:val="2"/>
          </w:tcPr>
          <w:p w14:paraId="335B7A1B" w14:textId="77777777" w:rsidR="00C70A7E" w:rsidRPr="008015A2" w:rsidRDefault="00C70A7E" w:rsidP="00D67A25">
            <w:pPr>
              <w:pStyle w:val="ATABody"/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</w:rPr>
              <w:t>L’incident : Enquête sur l’attentat à la bombe qui s'est produit le 15 avril 2013, lors d’un marathon.</w:t>
            </w:r>
            <w:r>
              <w:rPr>
                <w:rStyle w:val="ATAEmphasis"/>
                <w:b w:val="0"/>
              </w:rPr>
              <w:t xml:space="preserve"> </w:t>
            </w:r>
          </w:p>
        </w:tc>
      </w:tr>
      <w:tr w:rsidR="002F1BB7" w14:paraId="14D233C3" w14:textId="77777777" w:rsidTr="3D0BD8EE">
        <w:tc>
          <w:tcPr>
            <w:tcW w:w="9576" w:type="dxa"/>
            <w:gridSpan w:val="2"/>
          </w:tcPr>
          <w:p w14:paraId="54D54558" w14:textId="77777777" w:rsidR="002F1BB7" w:rsidRDefault="002F1BB7" w:rsidP="00D67A25">
            <w:pPr>
              <w:pStyle w:val="ATABody"/>
              <w:spacing w:before="40" w:after="40"/>
              <w:rPr>
                <w:rStyle w:val="ATAEmphasis"/>
              </w:rPr>
            </w:pPr>
            <w:r>
              <w:rPr>
                <w:rStyle w:val="ATAEmphasis"/>
              </w:rPr>
              <w:t>Identification des suspects</w:t>
            </w:r>
          </w:p>
        </w:tc>
      </w:tr>
      <w:tr w:rsidR="002F1BB7" w14:paraId="7A1ACD29" w14:textId="77777777" w:rsidTr="3D0BD8EE">
        <w:tc>
          <w:tcPr>
            <w:tcW w:w="9576" w:type="dxa"/>
            <w:gridSpan w:val="2"/>
          </w:tcPr>
          <w:p w14:paraId="5F187DCE" w14:textId="77777777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rPr>
                <w:rStyle w:val="ATAEmphasis"/>
                <w:b w:val="0"/>
              </w:rPr>
              <w:t>Les enquêteurs ont rassemblé les p</w:t>
            </w:r>
            <w:r>
              <w:t>hotos et vidéos prises par le public, ainsi que les milliers d’heures d’enregistrement des caméras de télévision en circuit fermé (CCTV) du quartier.</w:t>
            </w:r>
          </w:p>
          <w:p w14:paraId="499F29FE" w14:textId="77777777" w:rsidR="002F1BB7" w:rsidRDefault="00C70A7E" w:rsidP="00D67A25">
            <w:pPr>
              <w:pStyle w:val="ATABody"/>
              <w:numPr>
                <w:ilvl w:val="0"/>
                <w:numId w:val="28"/>
              </w:numPr>
              <w:spacing w:before="40" w:after="40"/>
              <w:rPr>
                <w:rStyle w:val="ATAEmphasis"/>
                <w:b w:val="0"/>
              </w:rPr>
            </w:pPr>
            <w:r>
              <w:t xml:space="preserve">Une équipe d’experts a examiné quelque 13 000 fichiers vidéo et 120 000 photos. </w:t>
            </w:r>
          </w:p>
        </w:tc>
      </w:tr>
      <w:tr w:rsidR="002F1BB7" w14:paraId="684B677E" w14:textId="77777777" w:rsidTr="3D0BD8EE">
        <w:tc>
          <w:tcPr>
            <w:tcW w:w="9576" w:type="dxa"/>
            <w:gridSpan w:val="2"/>
          </w:tcPr>
          <w:p w14:paraId="713DA091" w14:textId="77777777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L’une des vidéos prises par la caméra de surveillance d’un grand magasin montre les faits qui se sont déroulés juste après l’explosion de la première bombe.</w:t>
            </w:r>
          </w:p>
          <w:p w14:paraId="6445D27C" w14:textId="77777777" w:rsidR="002F1BB7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 xml:space="preserve">La plupart des personnes présentes dans la foule réagissent à l'explosion en regardant vers leur gauche, leur visage exprimant leur choc. </w:t>
            </w:r>
          </w:p>
          <w:p w14:paraId="65A8C9F8" w14:textId="77777777" w:rsidR="005C0490" w:rsidRDefault="005C0490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Une seule personne ne se tourne pas pour regarder ; au lieu de cela, elle s'éloigne calmement.</w:t>
            </w:r>
          </w:p>
          <w:p w14:paraId="175910A7" w14:textId="77777777" w:rsidR="005C0490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 xml:space="preserve">C'est d'après la réaction de cet homme que les experts se sont concentrés sur lui. </w:t>
            </w:r>
          </w:p>
          <w:p w14:paraId="4EE09D2D" w14:textId="77777777" w:rsidR="005C0490" w:rsidRDefault="002F1BB7" w:rsidP="00D67A25">
            <w:pPr>
              <w:pStyle w:val="ATABody"/>
              <w:numPr>
                <w:ilvl w:val="0"/>
                <w:numId w:val="27"/>
              </w:numPr>
              <w:spacing w:before="40" w:after="40"/>
            </w:pPr>
            <w:r>
              <w:t>Après avoir visionné de nombreuses vidéos, ils ont pu reconstituer l’ordre des événements comme suit :</w:t>
            </w:r>
          </w:p>
          <w:p w14:paraId="19FA9E44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L’homme dépose un sac à dos.</w:t>
            </w:r>
          </w:p>
          <w:p w14:paraId="3E966527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La première bombe explose.</w:t>
            </w:r>
          </w:p>
          <w:p w14:paraId="2AB369D4" w14:textId="77777777" w:rsidR="005C0490" w:rsidRDefault="005C0490" w:rsidP="00D67A25">
            <w:pPr>
              <w:pStyle w:val="ATABody"/>
              <w:numPr>
                <w:ilvl w:val="1"/>
                <w:numId w:val="29"/>
              </w:numPr>
              <w:spacing w:before="40" w:after="40"/>
            </w:pPr>
            <w:r>
              <w:t>L’homme s'éloigne calmement.</w:t>
            </w:r>
          </w:p>
          <w:p w14:paraId="782605BB" w14:textId="0CB40988" w:rsidR="002F1BB7" w:rsidRPr="005C0490" w:rsidRDefault="002F1BB7" w:rsidP="00D67A25">
            <w:pPr>
              <w:pStyle w:val="ATABody"/>
              <w:numPr>
                <w:ilvl w:val="1"/>
                <w:numId w:val="29"/>
              </w:numPr>
              <w:spacing w:before="40" w:after="40"/>
              <w:rPr>
                <w:rStyle w:val="ATAEmphasis"/>
                <w:b w:val="0"/>
                <w:color w:val="auto"/>
              </w:rPr>
            </w:pPr>
            <w:r>
              <w:t>Près de 20 secondes plus tard, la deuxième bombe explose.</w:t>
            </w:r>
          </w:p>
          <w:p w14:paraId="2CC7FBEB" w14:textId="7CE7ECA9" w:rsidR="002F1BB7" w:rsidRPr="005C0490" w:rsidRDefault="002F1BB7" w:rsidP="3D0BD8EE">
            <w:pPr>
              <w:pStyle w:val="ATABody"/>
              <w:spacing w:before="40" w:after="40"/>
            </w:pPr>
          </w:p>
          <w:p w14:paraId="3FEFA9A1" w14:textId="04E92D80" w:rsidR="002F1BB7" w:rsidRPr="005C0490" w:rsidRDefault="002F1BB7" w:rsidP="3D0BD8EE">
            <w:pPr>
              <w:pStyle w:val="ATABody"/>
              <w:spacing w:before="40" w:after="40"/>
            </w:pPr>
          </w:p>
        </w:tc>
      </w:tr>
      <w:tr w:rsidR="005C0490" w14:paraId="4DA2704A" w14:textId="77777777" w:rsidTr="3D0BD8EE">
        <w:tc>
          <w:tcPr>
            <w:tcW w:w="2820" w:type="dxa"/>
          </w:tcPr>
          <w:p w14:paraId="2FCE3D18" w14:textId="77777777" w:rsidR="00C70A7E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lastRenderedPageBreak/>
              <w:t xml:space="preserve">L’homme que l’on distingue sur la vidéo porte une casquette blanche, ce qui permet de l’identifier facilement dans d’autres vidéos. </w:t>
            </w:r>
          </w:p>
          <w:p w14:paraId="160A7FEA" w14:textId="77777777" w:rsidR="00C70A7E" w:rsidRDefault="00C70A7E" w:rsidP="00D67A25">
            <w:pPr>
              <w:pStyle w:val="ATABody"/>
              <w:spacing w:before="40" w:after="40"/>
              <w:ind w:left="360"/>
              <w:rPr>
                <w:rStyle w:val="ATAEmphasis"/>
                <w:b w:val="0"/>
              </w:rPr>
            </w:pPr>
          </w:p>
          <w:p w14:paraId="2BD9DE58" w14:textId="77777777" w:rsidR="005C0490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Les experts l’ont rapidement localisé marchant avec un autre homme, ce dernier portant une casquette noire.</w:t>
            </w:r>
          </w:p>
          <w:p w14:paraId="6033A17F" w14:textId="77777777" w:rsidR="005C0490" w:rsidRPr="005C0490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</w:p>
        </w:tc>
        <w:tc>
          <w:tcPr>
            <w:tcW w:w="6756" w:type="dxa"/>
          </w:tcPr>
          <w:p w14:paraId="37C76293" w14:textId="77777777" w:rsidR="005C0490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  <w:r>
              <w:rPr>
                <w:noProof/>
              </w:rPr>
              <w:drawing>
                <wp:inline distT="0" distB="0" distL="0" distR="0" wp14:anchorId="3A90E589" wp14:editId="63C2954E">
                  <wp:extent cx="4055110" cy="3035300"/>
                  <wp:effectExtent l="25400" t="25400" r="34290" b="38100"/>
                  <wp:docPr id="5" name="Picture 5" descr="Suspects in Cro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spects in Crow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8008" cy="30374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D6848" w14:textId="77777777" w:rsidR="005C0490" w:rsidRPr="00390F50" w:rsidRDefault="005C0490" w:rsidP="00D67A25">
            <w:pPr>
              <w:pStyle w:val="ATABody"/>
              <w:spacing w:before="40" w:after="40"/>
              <w:jc w:val="center"/>
              <w:rPr>
                <w:rStyle w:val="ATAEmphasis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  <w:p w14:paraId="3E368BEA" w14:textId="77777777" w:rsidR="005C0490" w:rsidRPr="002F1BB7" w:rsidRDefault="005C0490" w:rsidP="00D67A25">
            <w:pPr>
              <w:pStyle w:val="ATABody"/>
              <w:spacing w:before="40" w:after="40"/>
              <w:rPr>
                <w:color w:val="262626" w:themeColor="text1" w:themeTint="D9"/>
              </w:rPr>
            </w:pPr>
          </w:p>
        </w:tc>
      </w:tr>
      <w:tr w:rsidR="005C0490" w14:paraId="6AF7F5D0" w14:textId="77777777" w:rsidTr="3D0BD8EE">
        <w:tc>
          <w:tcPr>
            <w:tcW w:w="2820" w:type="dxa"/>
          </w:tcPr>
          <w:p w14:paraId="6BBAB061" w14:textId="77777777" w:rsidR="008015A2" w:rsidRDefault="00C70A7E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 xml:space="preserve">La description des hommes apparaissant dans les vidéos correspondait à celle donnée par les témoins oculaires. </w:t>
            </w:r>
          </w:p>
          <w:p w14:paraId="740D6FD9" w14:textId="77777777" w:rsidR="005C0490" w:rsidRPr="005C0490" w:rsidRDefault="005C0490" w:rsidP="00D67A25">
            <w:pPr>
              <w:pStyle w:val="ATABody"/>
              <w:numPr>
                <w:ilvl w:val="0"/>
                <w:numId w:val="30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Un témoin oculaire, lequel avait perdu ses deux jambes dans l'explosion et était toujours hospitalisé, a écrit au FBI le message suivant : « Sac. J'ai vu le type. Il m'a regardé droit dans les yeux. »</w:t>
            </w:r>
          </w:p>
          <w:p w14:paraId="4288C65A" w14:textId="77777777" w:rsidR="005C0490" w:rsidRPr="002F1BB7" w:rsidRDefault="005C0490" w:rsidP="00D67A25">
            <w:pPr>
              <w:pStyle w:val="ATABody"/>
              <w:spacing w:before="40" w:after="40"/>
              <w:rPr>
                <w:rStyle w:val="ATAEmphasis"/>
                <w:b w:val="0"/>
                <w:color w:val="auto"/>
              </w:rPr>
            </w:pPr>
          </w:p>
        </w:tc>
        <w:tc>
          <w:tcPr>
            <w:tcW w:w="6756" w:type="dxa"/>
          </w:tcPr>
          <w:p w14:paraId="142E418A" w14:textId="77777777" w:rsidR="00C70A7E" w:rsidRDefault="005C0490" w:rsidP="00D67A25">
            <w:pPr>
              <w:pStyle w:val="ATABody"/>
              <w:spacing w:before="40" w:after="40"/>
              <w:jc w:val="center"/>
              <w:rPr>
                <w:rStyle w:val="ATAEmphasis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3AE6B7B0" wp14:editId="4021B96C">
                  <wp:extent cx="3719286" cy="2603500"/>
                  <wp:effectExtent l="25400" t="25400" r="14605" b="12700"/>
                  <wp:docPr id="6" name="Picture 6" descr="Suspect 1 and Suspect 2, Zoomed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spect 1 and Suspect 2, Zoomed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286" cy="2603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TAEmphasis"/>
                <w:b w:val="0"/>
              </w:rPr>
              <w:t xml:space="preserve"> </w:t>
            </w:r>
          </w:p>
          <w:p w14:paraId="4D95129D" w14:textId="5AAD5D38" w:rsidR="005C0490" w:rsidRPr="00C70A7E" w:rsidRDefault="00C70A7E" w:rsidP="00D67A25">
            <w:pPr>
              <w:pStyle w:val="ATABody"/>
              <w:spacing w:before="40" w:after="40"/>
              <w:jc w:val="center"/>
              <w:rPr>
                <w:rStyle w:val="ATAEmphasis"/>
              </w:rPr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</w:tc>
      </w:tr>
      <w:tr w:rsidR="002F1BB7" w14:paraId="43EF0EB8" w14:textId="77777777" w:rsidTr="3D0BD8EE">
        <w:tc>
          <w:tcPr>
            <w:tcW w:w="9576" w:type="dxa"/>
            <w:gridSpan w:val="2"/>
          </w:tcPr>
          <w:p w14:paraId="459E122A" w14:textId="77777777" w:rsidR="00C70A7E" w:rsidRDefault="00C70A7E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 xml:space="preserve">Les enquêteurs étaient sûrs que ces deux personnes étaient les suspects et, le 18 avril, ont diffusé une série d’images de ces deux hommes. </w:t>
            </w:r>
          </w:p>
          <w:p w14:paraId="5C2BBAC9" w14:textId="2BA3E94D" w:rsidR="002F1BB7" w:rsidRDefault="00C70A7E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Les responsables du FBI ont demandé au public de leur porter assistance pour les identifier.</w:t>
            </w:r>
          </w:p>
          <w:p w14:paraId="14A98F95" w14:textId="77777777" w:rsidR="008015A2" w:rsidRPr="008015A2" w:rsidRDefault="008015A2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color w:val="262626" w:themeColor="text1" w:themeTint="D9"/>
              </w:rPr>
            </w:pPr>
            <w:r>
              <w:lastRenderedPageBreak/>
              <w:t xml:space="preserve">Plus tard dans la journée, les deux hommes (des frères) ont été soupçonnés d'avoir tué un policier, braqué une voiture et échangé des coups de feu avec la police. </w:t>
            </w:r>
          </w:p>
          <w:p w14:paraId="47F60372" w14:textId="77777777" w:rsidR="008015A2" w:rsidRDefault="008015A2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b w:val="0"/>
              </w:rPr>
            </w:pPr>
            <w:r>
              <w:t xml:space="preserve">Le frère aîné, Tamerlan </w:t>
            </w:r>
            <w:proofErr w:type="spellStart"/>
            <w:r>
              <w:t>Tsarnaïev</w:t>
            </w:r>
            <w:proofErr w:type="spellEnd"/>
            <w:r>
              <w:t>, a été tué lors de cet échange de coups de feu.</w:t>
            </w:r>
          </w:p>
        </w:tc>
      </w:tr>
      <w:tr w:rsidR="009665D8" w14:paraId="40B2308E" w14:textId="77777777" w:rsidTr="3D0BD8EE">
        <w:tc>
          <w:tcPr>
            <w:tcW w:w="9576" w:type="dxa"/>
            <w:gridSpan w:val="2"/>
          </w:tcPr>
          <w:p w14:paraId="45148EAC" w14:textId="77777777" w:rsidR="009665D8" w:rsidRPr="009665D8" w:rsidRDefault="009665D8" w:rsidP="00D67A25">
            <w:pPr>
              <w:pStyle w:val="ATABody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Traque du frère cadet</w:t>
            </w:r>
          </w:p>
        </w:tc>
      </w:tr>
      <w:tr w:rsidR="002F1BB7" w14:paraId="632D460C" w14:textId="77777777" w:rsidTr="3D0BD8EE">
        <w:tc>
          <w:tcPr>
            <w:tcW w:w="9576" w:type="dxa"/>
            <w:gridSpan w:val="2"/>
          </w:tcPr>
          <w:p w14:paraId="0EFD89C9" w14:textId="77777777" w:rsidR="008015A2" w:rsidRDefault="008015A2" w:rsidP="00D67A25">
            <w:pPr>
              <w:pStyle w:val="ATABody"/>
              <w:numPr>
                <w:ilvl w:val="0"/>
                <w:numId w:val="31"/>
              </w:numPr>
              <w:spacing w:before="40" w:after="40"/>
            </w:pPr>
            <w:r>
              <w:t xml:space="preserve">On a alors démarré de vastes recherches pour retrouver le frère cadet, </w:t>
            </w:r>
            <w:proofErr w:type="spellStart"/>
            <w:r>
              <w:t>Dzhokhar</w:t>
            </w:r>
            <w:proofErr w:type="spellEnd"/>
            <w:r>
              <w:t xml:space="preserve">. </w:t>
            </w:r>
          </w:p>
          <w:p w14:paraId="2F9BA176" w14:textId="77777777" w:rsidR="00D55FBA" w:rsidRPr="00D55FBA" w:rsidRDefault="00D55FBA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Fonts w:ascii="Times" w:hAnsi="Times"/>
                <w:sz w:val="20"/>
                <w:szCs w:val="20"/>
              </w:rPr>
            </w:pPr>
            <w:r>
              <w:t xml:space="preserve">Le 19 avril, un habitant a découvert </w:t>
            </w:r>
            <w:proofErr w:type="spellStart"/>
            <w:r>
              <w:t>Dzhokhar</w:t>
            </w:r>
            <w:proofErr w:type="spellEnd"/>
            <w:r>
              <w:t xml:space="preserve"> caché dans son bateau entreposé dans le jardin de sa maison, et a averti la police. </w:t>
            </w:r>
          </w:p>
          <w:p w14:paraId="008E039D" w14:textId="77777777" w:rsidR="002F1BB7" w:rsidRPr="00D55FBA" w:rsidRDefault="00D55FBA" w:rsidP="00D67A25">
            <w:pPr>
              <w:pStyle w:val="ATABody"/>
              <w:numPr>
                <w:ilvl w:val="0"/>
                <w:numId w:val="31"/>
              </w:numPr>
              <w:spacing w:before="40" w:after="40"/>
              <w:rPr>
                <w:rStyle w:val="ATAEmphasis"/>
                <w:rFonts w:ascii="Times" w:hAnsi="Times"/>
                <w:b w:val="0"/>
                <w:color w:val="auto"/>
                <w:sz w:val="20"/>
                <w:szCs w:val="20"/>
              </w:rPr>
            </w:pPr>
            <w:proofErr w:type="spellStart"/>
            <w:r>
              <w:t>Dzhokhar</w:t>
            </w:r>
            <w:proofErr w:type="spellEnd"/>
            <w:r>
              <w:t xml:space="preserve"> a été arrêté, jugé et condamné pour le rôle qu’il avait joué dans l'attentat à la bombe. </w:t>
            </w:r>
          </w:p>
        </w:tc>
      </w:tr>
      <w:tr w:rsidR="002F1BB7" w14:paraId="213F05ED" w14:textId="77777777" w:rsidTr="3D0BD8EE">
        <w:tc>
          <w:tcPr>
            <w:tcW w:w="9576" w:type="dxa"/>
            <w:gridSpan w:val="2"/>
          </w:tcPr>
          <w:p w14:paraId="5AE5140C" w14:textId="77777777" w:rsidR="002F1BB7" w:rsidRPr="009665D8" w:rsidRDefault="009665D8" w:rsidP="00D67A25">
            <w:pPr>
              <w:pStyle w:val="ATABody"/>
              <w:keepNext/>
              <w:spacing w:before="40" w:after="40"/>
              <w:rPr>
                <w:b/>
                <w:color w:val="262626" w:themeColor="text1" w:themeTint="D9"/>
              </w:rPr>
            </w:pPr>
            <w:r>
              <w:rPr>
                <w:rStyle w:val="ATAEmphasis"/>
              </w:rPr>
              <w:t xml:space="preserve">Détails du complot </w:t>
            </w:r>
          </w:p>
        </w:tc>
      </w:tr>
      <w:tr w:rsidR="009665D8" w14:paraId="7FF42175" w14:textId="77777777" w:rsidTr="3D0BD8EE">
        <w:tc>
          <w:tcPr>
            <w:tcW w:w="9576" w:type="dxa"/>
            <w:gridSpan w:val="2"/>
          </w:tcPr>
          <w:p w14:paraId="09D3085A" w14:textId="77777777" w:rsidR="009665D8" w:rsidRP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  <w:rPr>
                <w:rStyle w:val="ATAEmphasis"/>
                <w:b w:val="0"/>
                <w:color w:val="auto"/>
              </w:rPr>
            </w:pPr>
            <w:r>
              <w:rPr>
                <w:rStyle w:val="ATAEmphasis"/>
                <w:b w:val="0"/>
                <w:color w:val="auto"/>
              </w:rPr>
              <w:t>L'enquête s'est ensuite concentrée sur les détails du complot – comment les auteurs s’y étaient pris et si d’autres personnes avaient été au courant ou impliquées.</w:t>
            </w:r>
          </w:p>
        </w:tc>
      </w:tr>
      <w:tr w:rsidR="009665D8" w14:paraId="3AD0054B" w14:textId="77777777" w:rsidTr="3D0BD8EE">
        <w:tc>
          <w:tcPr>
            <w:tcW w:w="9576" w:type="dxa"/>
            <w:gridSpan w:val="2"/>
          </w:tcPr>
          <w:p w14:paraId="53B4919E" w14:textId="77777777" w:rsid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</w:pPr>
            <w:r>
              <w:t xml:space="preserve">Initialement, les lieux de crime des attentats s'étendaient sur 15 pâtés de maisons. </w:t>
            </w:r>
          </w:p>
          <w:p w14:paraId="51434E03" w14:textId="77777777" w:rsidR="009665D8" w:rsidRDefault="009665D8" w:rsidP="00D67A25">
            <w:pPr>
              <w:pStyle w:val="ATABody"/>
              <w:numPr>
                <w:ilvl w:val="0"/>
                <w:numId w:val="32"/>
              </w:numPr>
              <w:spacing w:before="40" w:after="40"/>
            </w:pPr>
            <w:r>
              <w:t>Plus de 2 000 éléments de preuve ont été envoyés au laboratoire du FBI, notamment :</w:t>
            </w:r>
          </w:p>
          <w:p w14:paraId="1E14AD59" w14:textId="77777777" w:rsid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 xml:space="preserve">Des lambeaux de tissu que l’on a plus tard identifiés comme provenant d'un sac à dos. </w:t>
            </w:r>
          </w:p>
          <w:p w14:paraId="1A4AE429" w14:textId="77777777" w:rsidR="009665D8" w:rsidRPr="00BC5413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>Des fragments de piles, de cartes de circuits électroniques et de fils électriques.</w:t>
            </w:r>
          </w:p>
          <w:p w14:paraId="461FAE8B" w14:textId="77777777" w:rsid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</w:pPr>
            <w:r>
              <w:t>Des fragments de balles BB et de clous.</w:t>
            </w:r>
          </w:p>
          <w:p w14:paraId="4877E66F" w14:textId="77777777" w:rsidR="009665D8" w:rsidRPr="009665D8" w:rsidRDefault="009665D8" w:rsidP="00D67A25">
            <w:pPr>
              <w:pStyle w:val="ATABodyBulletLevel01"/>
              <w:numPr>
                <w:ilvl w:val="0"/>
                <w:numId w:val="33"/>
              </w:numPr>
              <w:spacing w:before="40" w:after="40"/>
              <w:rPr>
                <w:rStyle w:val="ATAEmphasis"/>
                <w:b w:val="0"/>
                <w:color w:val="000000"/>
              </w:rPr>
            </w:pPr>
            <w:r>
              <w:t xml:space="preserve">Des morceaux de cocotte-minute, dont un couvercle qui a été retrouvé au 6e étage d'un hôtel situé à 30 mètres du lieu de l'explosion. </w:t>
            </w:r>
          </w:p>
        </w:tc>
      </w:tr>
      <w:tr w:rsidR="009665D8" w14:paraId="73ACD200" w14:textId="77777777" w:rsidTr="3D0BD8EE">
        <w:tc>
          <w:tcPr>
            <w:tcW w:w="9576" w:type="dxa"/>
            <w:gridSpan w:val="2"/>
          </w:tcPr>
          <w:p w14:paraId="5967E756" w14:textId="77777777" w:rsidR="009665D8" w:rsidRDefault="009665D8" w:rsidP="00D67A25">
            <w:pPr>
              <w:pStyle w:val="ATABody"/>
              <w:keepNext/>
              <w:numPr>
                <w:ilvl w:val="0"/>
                <w:numId w:val="34"/>
              </w:numPr>
              <w:spacing w:before="40" w:after="40"/>
            </w:pPr>
            <w:r>
              <w:lastRenderedPageBreak/>
              <w:t xml:space="preserve">La police a interrogé les trois colocataires de </w:t>
            </w:r>
            <w:proofErr w:type="spellStart"/>
            <w:r>
              <w:t>Dzhokhar</w:t>
            </w:r>
            <w:proofErr w:type="spellEnd"/>
            <w:r>
              <w:t>.</w:t>
            </w:r>
          </w:p>
          <w:p w14:paraId="0222A6F6" w14:textId="77777777" w:rsidR="009665D8" w:rsidRDefault="009665D8" w:rsidP="00D67A25">
            <w:pPr>
              <w:pStyle w:val="ATABody"/>
              <w:keepNext/>
              <w:numPr>
                <w:ilvl w:val="0"/>
                <w:numId w:val="34"/>
              </w:numPr>
              <w:spacing w:before="40" w:after="40"/>
            </w:pPr>
            <w:r>
              <w:t xml:space="preserve">Ayant initialement nié toute implication ou connaissance du complot, les hommes ont par la suite reconnu avoir tenté de dissimuler des preuves. </w:t>
            </w:r>
          </w:p>
          <w:p w14:paraId="066BE13F" w14:textId="77777777" w:rsidR="009665D8" w:rsidRDefault="009665D8" w:rsidP="00D67A25">
            <w:pPr>
              <w:pStyle w:val="ATABody"/>
              <w:keepNext/>
              <w:numPr>
                <w:ilvl w:val="0"/>
                <w:numId w:val="35"/>
              </w:numPr>
              <w:spacing w:before="40" w:after="40"/>
            </w:pPr>
            <w:r>
              <w:t xml:space="preserve">Après avoir vu les photos de leur colocataire diffusées dans le contexte des attentats, les jeunes hommes sont allés dans la chambre de </w:t>
            </w:r>
            <w:proofErr w:type="spellStart"/>
            <w:r>
              <w:t>Dzhokhar</w:t>
            </w:r>
            <w:proofErr w:type="spellEnd"/>
            <w:r>
              <w:t xml:space="preserve">, ont ramassé les feux d'artifice vides qui s’y trouvaient, les ont mis dans un sac à dos et ont jeté celui-ci à la poubelle. </w:t>
            </w:r>
          </w:p>
        </w:tc>
      </w:tr>
      <w:tr w:rsidR="009665D8" w14:paraId="08C2E7ED" w14:textId="77777777" w:rsidTr="3D0BD8EE">
        <w:tc>
          <w:tcPr>
            <w:tcW w:w="2820" w:type="dxa"/>
          </w:tcPr>
          <w:p w14:paraId="48014FF6" w14:textId="77777777" w:rsidR="00467623" w:rsidRDefault="009665D8" w:rsidP="00D67A25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>Le sac a été retrouvé par la suite. La photo montre les feux d'artifice récupérés dans une décharge que l’on avait fouillée.</w:t>
            </w:r>
          </w:p>
          <w:p w14:paraId="756578BD" w14:textId="77777777" w:rsidR="00467623" w:rsidRDefault="00467623" w:rsidP="00D67A25">
            <w:pPr>
              <w:pStyle w:val="ATABody"/>
              <w:spacing w:before="40" w:after="40"/>
              <w:ind w:left="360"/>
            </w:pPr>
          </w:p>
          <w:p w14:paraId="50D5EBD6" w14:textId="77777777" w:rsidR="009665D8" w:rsidRDefault="009665D8" w:rsidP="00D67A25">
            <w:pPr>
              <w:pStyle w:val="ATABody"/>
              <w:numPr>
                <w:ilvl w:val="0"/>
                <w:numId w:val="34"/>
              </w:numPr>
              <w:spacing w:before="40" w:after="40"/>
            </w:pPr>
            <w:r>
              <w:t>Les enquêteurs de police soupçonnent que la poudre des feux d'artifice a servi à la fabrication des bombes.</w:t>
            </w:r>
          </w:p>
        </w:tc>
        <w:tc>
          <w:tcPr>
            <w:tcW w:w="6756" w:type="dxa"/>
          </w:tcPr>
          <w:p w14:paraId="39C55047" w14:textId="77777777" w:rsidR="009665D8" w:rsidRDefault="009665D8" w:rsidP="00D67A25">
            <w:pPr>
              <w:pStyle w:val="ATABody"/>
              <w:spacing w:before="40" w:after="40"/>
            </w:pPr>
            <w:r>
              <w:rPr>
                <w:noProof/>
              </w:rPr>
              <w:drawing>
                <wp:inline distT="0" distB="0" distL="0" distR="0" wp14:anchorId="68D33FF2" wp14:editId="0B490D58">
                  <wp:extent cx="4114800" cy="2740105"/>
                  <wp:effectExtent l="19050" t="19050" r="19050" b="22225"/>
                  <wp:docPr id="2" name="Picture 2" descr="http://www.fbi.gov/news/updates-on-investigation-into-multiple-explosions-in-boston/image/opened-and-emptied-fireworks-high-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bi.gov/news/updates-on-investigation-into-multiple-explosions-in-boston/image/opened-and-emptied-fireworks-high-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7401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57DF8" w14:textId="2B495516" w:rsidR="009665D8" w:rsidRPr="00D952C2" w:rsidRDefault="009665D8" w:rsidP="00D67A25">
            <w:pPr>
              <w:pStyle w:val="ATABody"/>
              <w:spacing w:before="40" w:after="40"/>
              <w:jc w:val="center"/>
              <w:rPr>
                <w:b/>
              </w:rPr>
            </w:pPr>
            <w:r>
              <w:rPr>
                <w:rStyle w:val="ATAEmphasis"/>
                <w:rFonts w:ascii="Arial" w:hAnsi="Arial"/>
                <w:b w:val="0"/>
                <w:color w:val="auto"/>
                <w:sz w:val="16"/>
              </w:rPr>
              <w:t>Source : FBI (Bureau des enquêtes fédérales des États-Unis)</w:t>
            </w:r>
          </w:p>
          <w:p w14:paraId="24DE8C8E" w14:textId="77777777" w:rsidR="009665D8" w:rsidRDefault="009665D8" w:rsidP="00D67A25">
            <w:pPr>
              <w:pStyle w:val="ATABody"/>
              <w:spacing w:before="40" w:after="40"/>
            </w:pPr>
          </w:p>
        </w:tc>
      </w:tr>
    </w:tbl>
    <w:p w14:paraId="38481563" w14:textId="77777777" w:rsidR="00F02AA8" w:rsidRDefault="00F02AA8" w:rsidP="00545859">
      <w:pPr>
        <w:pStyle w:val="ATABody"/>
        <w:rPr>
          <w:rStyle w:val="ATAEmphasis"/>
        </w:rPr>
      </w:pPr>
    </w:p>
    <w:p w14:paraId="3D409AAE" w14:textId="472AEAA2" w:rsidR="00285D43" w:rsidRPr="00683C92" w:rsidRDefault="00285D43" w:rsidP="00545859">
      <w:pPr>
        <w:pStyle w:val="ATABody"/>
        <w:rPr>
          <w:rStyle w:val="ATAEmphasis"/>
          <w:b w:val="0"/>
          <w:color w:val="auto"/>
        </w:rPr>
      </w:pPr>
    </w:p>
    <w:sectPr w:rsidR="00285D43" w:rsidRPr="00683C92" w:rsidSect="00D17B4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84A8" w14:textId="77777777" w:rsidR="0061578A" w:rsidRDefault="0061578A" w:rsidP="00C82114">
      <w:r>
        <w:separator/>
      </w:r>
    </w:p>
  </w:endnote>
  <w:endnote w:type="continuationSeparator" w:id="0">
    <w:p w14:paraId="7B793A22" w14:textId="77777777" w:rsidR="0061578A" w:rsidRDefault="0061578A" w:rsidP="00C82114">
      <w:r>
        <w:continuationSeparator/>
      </w:r>
    </w:p>
  </w:endnote>
  <w:endnote w:type="continuationNotice" w:id="1">
    <w:p w14:paraId="58BE15E6" w14:textId="77777777" w:rsidR="0061578A" w:rsidRDefault="00615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467623" w:rsidRPr="00A56C2F" w14:paraId="13AB9710" w14:textId="77777777" w:rsidTr="00F16863">
      <w:tc>
        <w:tcPr>
          <w:tcW w:w="8100" w:type="dxa"/>
          <w:shd w:val="clear" w:color="auto" w:fill="auto"/>
        </w:tcPr>
        <w:p w14:paraId="2FF7360D" w14:textId="6D35F5EE" w:rsidR="00467623" w:rsidRPr="00353C8D" w:rsidRDefault="00467623" w:rsidP="00467623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353C8D">
            <w:rPr>
              <w:color w:val="000000" w:themeColor="text1"/>
              <w:lang w:val="en-US"/>
            </w:rPr>
            <w:t>Interdicting Terrorist Activities (ITA) v5</w:t>
          </w:r>
          <w:r w:rsidRPr="00353C8D">
            <w:rPr>
              <w:rStyle w:val="PlaceholderText"/>
              <w:color w:val="000000" w:themeColor="text1"/>
              <w:lang w:val="en-US"/>
            </w:rPr>
            <w:t>.00</w:t>
          </w:r>
        </w:p>
      </w:tc>
      <w:tc>
        <w:tcPr>
          <w:tcW w:w="1260" w:type="dxa"/>
          <w:shd w:val="clear" w:color="auto" w:fill="auto"/>
        </w:tcPr>
        <w:p w14:paraId="39E14F4A" w14:textId="50FA32F3" w:rsidR="00467623" w:rsidRPr="00F16863" w:rsidRDefault="00467623" w:rsidP="002F1BB7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64A08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6A70C1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A64A08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8CEF7BC" w14:textId="77777777" w:rsidR="00467623" w:rsidRPr="00353C8D" w:rsidRDefault="00467623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353C8D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CE46" w14:textId="77777777" w:rsidR="0061578A" w:rsidRDefault="0061578A" w:rsidP="00C82114">
      <w:r>
        <w:separator/>
      </w:r>
    </w:p>
  </w:footnote>
  <w:footnote w:type="continuationSeparator" w:id="0">
    <w:p w14:paraId="28C45E73" w14:textId="77777777" w:rsidR="0061578A" w:rsidRDefault="0061578A" w:rsidP="00C82114">
      <w:r>
        <w:continuationSeparator/>
      </w:r>
    </w:p>
  </w:footnote>
  <w:footnote w:type="continuationNotice" w:id="1">
    <w:p w14:paraId="08D278F0" w14:textId="77777777" w:rsidR="0061578A" w:rsidRDefault="00615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0"/>
      <w:gridCol w:w="4410"/>
    </w:tblGrid>
    <w:tr w:rsidR="00467623" w:rsidRPr="00353C8D" w14:paraId="61F9FE70" w14:textId="77777777" w:rsidTr="003C72FE">
      <w:tc>
        <w:tcPr>
          <w:tcW w:w="4950" w:type="dxa"/>
          <w:shd w:val="clear" w:color="auto" w:fill="auto"/>
          <w:vAlign w:val="bottom"/>
        </w:tcPr>
        <w:p w14:paraId="06AD25F0" w14:textId="7A46B230" w:rsidR="00467623" w:rsidRPr="00353C8D" w:rsidRDefault="00E932E6" w:rsidP="00F83909">
          <w:pPr>
            <w:pStyle w:val="ATAHeader"/>
            <w:rPr>
              <w:lang w:val="en-US"/>
            </w:rPr>
          </w:pPr>
          <w:r w:rsidRPr="00353C8D">
            <w:rPr>
              <w:lang w:val="en-US"/>
            </w:rPr>
            <w:t>Module 16: Communicating with the Media and the Public</w:t>
          </w:r>
        </w:p>
      </w:tc>
      <w:tc>
        <w:tcPr>
          <w:tcW w:w="4410" w:type="dxa"/>
          <w:shd w:val="clear" w:color="auto" w:fill="auto"/>
          <w:vAlign w:val="bottom"/>
        </w:tcPr>
        <w:p w14:paraId="3B951957" w14:textId="6D0B18D5" w:rsidR="00467623" w:rsidRPr="00353C8D" w:rsidRDefault="00467623" w:rsidP="00F83909">
          <w:pPr>
            <w:pStyle w:val="ATAHeader"/>
            <w:jc w:val="right"/>
            <w:rPr>
              <w:lang w:val="en-US"/>
            </w:rPr>
          </w:pPr>
          <w:r w:rsidRPr="00353C8D">
            <w:rPr>
              <w:lang w:val="en-US"/>
            </w:rPr>
            <w:t>Workbook 16.2: Boston Marathon Case Study</w:t>
          </w:r>
        </w:p>
      </w:tc>
    </w:tr>
  </w:tbl>
  <w:p w14:paraId="4EA2F4BD" w14:textId="77777777" w:rsidR="00467623" w:rsidRPr="00353C8D" w:rsidRDefault="00467623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E95"/>
    <w:multiLevelType w:val="hybridMultilevel"/>
    <w:tmpl w:val="2912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E68"/>
    <w:multiLevelType w:val="hybridMultilevel"/>
    <w:tmpl w:val="35D8F9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F6012"/>
    <w:multiLevelType w:val="hybridMultilevel"/>
    <w:tmpl w:val="52503A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C2C7A"/>
    <w:multiLevelType w:val="hybridMultilevel"/>
    <w:tmpl w:val="EB22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46D1"/>
    <w:multiLevelType w:val="hybridMultilevel"/>
    <w:tmpl w:val="01B245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7206506"/>
    <w:multiLevelType w:val="hybridMultilevel"/>
    <w:tmpl w:val="E7A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4CB87F9C"/>
    <w:multiLevelType w:val="hybridMultilevel"/>
    <w:tmpl w:val="B8C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A5F87"/>
    <w:multiLevelType w:val="hybridMultilevel"/>
    <w:tmpl w:val="860E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E7A38"/>
    <w:multiLevelType w:val="hybridMultilevel"/>
    <w:tmpl w:val="0FC2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8451C"/>
    <w:multiLevelType w:val="hybridMultilevel"/>
    <w:tmpl w:val="08CE4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6ADF4E22"/>
    <w:multiLevelType w:val="hybridMultilevel"/>
    <w:tmpl w:val="8CE8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759368D6"/>
    <w:multiLevelType w:val="hybridMultilevel"/>
    <w:tmpl w:val="6CE4EB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B0374E"/>
    <w:multiLevelType w:val="hybridMultilevel"/>
    <w:tmpl w:val="829636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599036">
    <w:abstractNumId w:val="8"/>
  </w:num>
  <w:num w:numId="2" w16cid:durableId="406273420">
    <w:abstractNumId w:val="14"/>
  </w:num>
  <w:num w:numId="3" w16cid:durableId="2101943862">
    <w:abstractNumId w:val="23"/>
  </w:num>
  <w:num w:numId="4" w16cid:durableId="1968388013">
    <w:abstractNumId w:val="9"/>
  </w:num>
  <w:num w:numId="5" w16cid:durableId="589314420">
    <w:abstractNumId w:val="5"/>
  </w:num>
  <w:num w:numId="6" w16cid:durableId="763495139">
    <w:abstractNumId w:val="11"/>
  </w:num>
  <w:num w:numId="7" w16cid:durableId="15740398">
    <w:abstractNumId w:val="10"/>
  </w:num>
  <w:num w:numId="8" w16cid:durableId="997028476">
    <w:abstractNumId w:val="7"/>
  </w:num>
  <w:num w:numId="9" w16cid:durableId="1057361213">
    <w:abstractNumId w:val="0"/>
  </w:num>
  <w:num w:numId="10" w16cid:durableId="1341007079">
    <w:abstractNumId w:val="22"/>
  </w:num>
  <w:num w:numId="11" w16cid:durableId="1721787552">
    <w:abstractNumId w:val="23"/>
  </w:num>
  <w:num w:numId="12" w16cid:durableId="2131705606">
    <w:abstractNumId w:val="23"/>
  </w:num>
  <w:num w:numId="13" w16cid:durableId="1701317040">
    <w:abstractNumId w:val="14"/>
  </w:num>
  <w:num w:numId="14" w16cid:durableId="141775724">
    <w:abstractNumId w:val="28"/>
  </w:num>
  <w:num w:numId="15" w16cid:durableId="576475021">
    <w:abstractNumId w:val="16"/>
  </w:num>
  <w:num w:numId="16" w16cid:durableId="2138719998">
    <w:abstractNumId w:val="29"/>
  </w:num>
  <w:num w:numId="17" w16cid:durableId="965283422">
    <w:abstractNumId w:val="29"/>
    <w:lvlOverride w:ilvl="0">
      <w:startOverride w:val="1"/>
    </w:lvlOverride>
  </w:num>
  <w:num w:numId="18" w16cid:durableId="356734059">
    <w:abstractNumId w:val="28"/>
  </w:num>
  <w:num w:numId="19" w16cid:durableId="186256363">
    <w:abstractNumId w:val="4"/>
  </w:num>
  <w:num w:numId="20" w16cid:durableId="47805031">
    <w:abstractNumId w:val="29"/>
  </w:num>
  <w:num w:numId="21" w16cid:durableId="130293829">
    <w:abstractNumId w:val="1"/>
  </w:num>
  <w:num w:numId="22" w16cid:durableId="1223562910">
    <w:abstractNumId w:val="21"/>
  </w:num>
  <w:num w:numId="23" w16cid:durableId="1348798670">
    <w:abstractNumId w:val="25"/>
  </w:num>
  <w:num w:numId="24" w16cid:durableId="1487629571">
    <w:abstractNumId w:val="17"/>
  </w:num>
  <w:num w:numId="25" w16cid:durableId="1063868246">
    <w:abstractNumId w:val="17"/>
    <w:lvlOverride w:ilvl="0">
      <w:startOverride w:val="1"/>
    </w:lvlOverride>
  </w:num>
  <w:num w:numId="26" w16cid:durableId="833036591">
    <w:abstractNumId w:val="12"/>
  </w:num>
  <w:num w:numId="27" w16cid:durableId="679087584">
    <w:abstractNumId w:val="6"/>
  </w:num>
  <w:num w:numId="28" w16cid:durableId="886183000">
    <w:abstractNumId w:val="15"/>
  </w:num>
  <w:num w:numId="29" w16cid:durableId="118499100">
    <w:abstractNumId w:val="13"/>
  </w:num>
  <w:num w:numId="30" w16cid:durableId="1115252964">
    <w:abstractNumId w:val="27"/>
  </w:num>
  <w:num w:numId="31" w16cid:durableId="8917253">
    <w:abstractNumId w:val="3"/>
  </w:num>
  <w:num w:numId="32" w16cid:durableId="1979337987">
    <w:abstractNumId w:val="24"/>
  </w:num>
  <w:num w:numId="33" w16cid:durableId="203367625">
    <w:abstractNumId w:val="26"/>
  </w:num>
  <w:num w:numId="34" w16cid:durableId="385571615">
    <w:abstractNumId w:val="30"/>
  </w:num>
  <w:num w:numId="35" w16cid:durableId="1934899375">
    <w:abstractNumId w:val="18"/>
  </w:num>
  <w:num w:numId="36" w16cid:durableId="1011832062">
    <w:abstractNumId w:val="20"/>
  </w:num>
  <w:num w:numId="37" w16cid:durableId="430013098">
    <w:abstractNumId w:val="2"/>
  </w:num>
  <w:num w:numId="38" w16cid:durableId="195482543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989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0E61"/>
    <w:rsid w:val="00051646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72E"/>
    <w:rsid w:val="00090D5C"/>
    <w:rsid w:val="00091597"/>
    <w:rsid w:val="00092F0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5CB"/>
    <w:rsid w:val="000D4AA5"/>
    <w:rsid w:val="000D4E8E"/>
    <w:rsid w:val="000D6923"/>
    <w:rsid w:val="000E053F"/>
    <w:rsid w:val="000E2069"/>
    <w:rsid w:val="000E50CD"/>
    <w:rsid w:val="000F112E"/>
    <w:rsid w:val="000F3085"/>
    <w:rsid w:val="000F784C"/>
    <w:rsid w:val="001042E5"/>
    <w:rsid w:val="001063E0"/>
    <w:rsid w:val="0011314D"/>
    <w:rsid w:val="0011397E"/>
    <w:rsid w:val="001142A3"/>
    <w:rsid w:val="00116DA5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0D4E"/>
    <w:rsid w:val="00142254"/>
    <w:rsid w:val="001433EF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5DE"/>
    <w:rsid w:val="00155C46"/>
    <w:rsid w:val="001577BB"/>
    <w:rsid w:val="00157B1E"/>
    <w:rsid w:val="001601EF"/>
    <w:rsid w:val="00161EAC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409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39A0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B7E71"/>
    <w:rsid w:val="001C333B"/>
    <w:rsid w:val="001C64EB"/>
    <w:rsid w:val="001C7FF0"/>
    <w:rsid w:val="001D026A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2124"/>
    <w:rsid w:val="00213B16"/>
    <w:rsid w:val="00214C04"/>
    <w:rsid w:val="00217A1F"/>
    <w:rsid w:val="00220A4E"/>
    <w:rsid w:val="00221072"/>
    <w:rsid w:val="00221CDB"/>
    <w:rsid w:val="00221F5C"/>
    <w:rsid w:val="00226679"/>
    <w:rsid w:val="00226C69"/>
    <w:rsid w:val="0022759F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5D43"/>
    <w:rsid w:val="00291A04"/>
    <w:rsid w:val="00293EE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2F9"/>
    <w:rsid w:val="002C3037"/>
    <w:rsid w:val="002D2049"/>
    <w:rsid w:val="002D22E1"/>
    <w:rsid w:val="002D23BF"/>
    <w:rsid w:val="002E304A"/>
    <w:rsid w:val="002F1BB7"/>
    <w:rsid w:val="002F20B3"/>
    <w:rsid w:val="002F23B3"/>
    <w:rsid w:val="002F3BC6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35021"/>
    <w:rsid w:val="003358E6"/>
    <w:rsid w:val="0034112C"/>
    <w:rsid w:val="0034270A"/>
    <w:rsid w:val="00345011"/>
    <w:rsid w:val="0034539C"/>
    <w:rsid w:val="003465C1"/>
    <w:rsid w:val="0035101F"/>
    <w:rsid w:val="003510B2"/>
    <w:rsid w:val="00351359"/>
    <w:rsid w:val="003527AB"/>
    <w:rsid w:val="00353C8D"/>
    <w:rsid w:val="00356C98"/>
    <w:rsid w:val="00361988"/>
    <w:rsid w:val="0036353C"/>
    <w:rsid w:val="0036366F"/>
    <w:rsid w:val="00364BCE"/>
    <w:rsid w:val="00364C1E"/>
    <w:rsid w:val="0036653F"/>
    <w:rsid w:val="00366661"/>
    <w:rsid w:val="0036786D"/>
    <w:rsid w:val="00370D1E"/>
    <w:rsid w:val="00371178"/>
    <w:rsid w:val="00371272"/>
    <w:rsid w:val="003733E6"/>
    <w:rsid w:val="00375CE7"/>
    <w:rsid w:val="003822F0"/>
    <w:rsid w:val="00384DB7"/>
    <w:rsid w:val="00385048"/>
    <w:rsid w:val="00385980"/>
    <w:rsid w:val="00385B8F"/>
    <w:rsid w:val="00390366"/>
    <w:rsid w:val="00390F50"/>
    <w:rsid w:val="003951BE"/>
    <w:rsid w:val="003A0135"/>
    <w:rsid w:val="003A26E1"/>
    <w:rsid w:val="003A2DB4"/>
    <w:rsid w:val="003A46E2"/>
    <w:rsid w:val="003A58BB"/>
    <w:rsid w:val="003B1BFF"/>
    <w:rsid w:val="003B2C3F"/>
    <w:rsid w:val="003B5891"/>
    <w:rsid w:val="003B59BA"/>
    <w:rsid w:val="003B7B4D"/>
    <w:rsid w:val="003C1E33"/>
    <w:rsid w:val="003C225C"/>
    <w:rsid w:val="003C2412"/>
    <w:rsid w:val="003C4674"/>
    <w:rsid w:val="003C6BD8"/>
    <w:rsid w:val="003C6EA5"/>
    <w:rsid w:val="003C72FE"/>
    <w:rsid w:val="003D2245"/>
    <w:rsid w:val="003D26E2"/>
    <w:rsid w:val="003D2812"/>
    <w:rsid w:val="003D3575"/>
    <w:rsid w:val="003D63FE"/>
    <w:rsid w:val="003E08F5"/>
    <w:rsid w:val="003E1C61"/>
    <w:rsid w:val="003E289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0B0C"/>
    <w:rsid w:val="00421B6D"/>
    <w:rsid w:val="004239F5"/>
    <w:rsid w:val="00423B24"/>
    <w:rsid w:val="00426413"/>
    <w:rsid w:val="0042684A"/>
    <w:rsid w:val="00426C1D"/>
    <w:rsid w:val="0042718E"/>
    <w:rsid w:val="004276AD"/>
    <w:rsid w:val="00433828"/>
    <w:rsid w:val="00433847"/>
    <w:rsid w:val="0043559B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AD6"/>
    <w:rsid w:val="00464995"/>
    <w:rsid w:val="00467008"/>
    <w:rsid w:val="00467623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2E77"/>
    <w:rsid w:val="0049374E"/>
    <w:rsid w:val="00494C38"/>
    <w:rsid w:val="004961F5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34BC"/>
    <w:rsid w:val="005242D9"/>
    <w:rsid w:val="005259CD"/>
    <w:rsid w:val="00530BE7"/>
    <w:rsid w:val="00532B27"/>
    <w:rsid w:val="005335B1"/>
    <w:rsid w:val="00534537"/>
    <w:rsid w:val="00534D05"/>
    <w:rsid w:val="00535154"/>
    <w:rsid w:val="005353EA"/>
    <w:rsid w:val="00535DBB"/>
    <w:rsid w:val="00545859"/>
    <w:rsid w:val="005464BE"/>
    <w:rsid w:val="0054719D"/>
    <w:rsid w:val="00552238"/>
    <w:rsid w:val="005543FB"/>
    <w:rsid w:val="005550B6"/>
    <w:rsid w:val="005572B7"/>
    <w:rsid w:val="005600EE"/>
    <w:rsid w:val="00560A97"/>
    <w:rsid w:val="005613A0"/>
    <w:rsid w:val="00562AF3"/>
    <w:rsid w:val="00564B4D"/>
    <w:rsid w:val="00567D7F"/>
    <w:rsid w:val="0057261D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289"/>
    <w:rsid w:val="005A3490"/>
    <w:rsid w:val="005B1929"/>
    <w:rsid w:val="005B2623"/>
    <w:rsid w:val="005B4D6D"/>
    <w:rsid w:val="005B7661"/>
    <w:rsid w:val="005C0148"/>
    <w:rsid w:val="005C0490"/>
    <w:rsid w:val="005C152A"/>
    <w:rsid w:val="005C1CF8"/>
    <w:rsid w:val="005C1E68"/>
    <w:rsid w:val="005C294E"/>
    <w:rsid w:val="005C4420"/>
    <w:rsid w:val="005C4C5E"/>
    <w:rsid w:val="005C699A"/>
    <w:rsid w:val="005D0124"/>
    <w:rsid w:val="005D4101"/>
    <w:rsid w:val="005D454B"/>
    <w:rsid w:val="005D4BF2"/>
    <w:rsid w:val="005D6CD1"/>
    <w:rsid w:val="005D7690"/>
    <w:rsid w:val="005D7DDF"/>
    <w:rsid w:val="005F1695"/>
    <w:rsid w:val="005F1DF1"/>
    <w:rsid w:val="005F4E92"/>
    <w:rsid w:val="005F7C17"/>
    <w:rsid w:val="00603F3E"/>
    <w:rsid w:val="00605193"/>
    <w:rsid w:val="0061194F"/>
    <w:rsid w:val="006142E9"/>
    <w:rsid w:val="00614472"/>
    <w:rsid w:val="0061578A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45DF9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3C92"/>
    <w:rsid w:val="00684B5C"/>
    <w:rsid w:val="0068542B"/>
    <w:rsid w:val="00696706"/>
    <w:rsid w:val="0069709B"/>
    <w:rsid w:val="006A06BB"/>
    <w:rsid w:val="006A23D6"/>
    <w:rsid w:val="006A2C2C"/>
    <w:rsid w:val="006A2EE6"/>
    <w:rsid w:val="006A3552"/>
    <w:rsid w:val="006A497F"/>
    <w:rsid w:val="006A6D39"/>
    <w:rsid w:val="006A6F1D"/>
    <w:rsid w:val="006A70C1"/>
    <w:rsid w:val="006A7594"/>
    <w:rsid w:val="006B2C72"/>
    <w:rsid w:val="006B519C"/>
    <w:rsid w:val="006B61A6"/>
    <w:rsid w:val="006B635F"/>
    <w:rsid w:val="006B638A"/>
    <w:rsid w:val="006B7B0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6F7903"/>
    <w:rsid w:val="00707C56"/>
    <w:rsid w:val="00710B1A"/>
    <w:rsid w:val="0071116F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147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5A2"/>
    <w:rsid w:val="00801D86"/>
    <w:rsid w:val="00802ABE"/>
    <w:rsid w:val="008036F2"/>
    <w:rsid w:val="008041F7"/>
    <w:rsid w:val="0080542B"/>
    <w:rsid w:val="00805701"/>
    <w:rsid w:val="00807A99"/>
    <w:rsid w:val="00807C36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DEE"/>
    <w:rsid w:val="0084249C"/>
    <w:rsid w:val="0085163B"/>
    <w:rsid w:val="00851E1B"/>
    <w:rsid w:val="0085460A"/>
    <w:rsid w:val="008564F0"/>
    <w:rsid w:val="0086201E"/>
    <w:rsid w:val="0086229F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86902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4C95"/>
    <w:rsid w:val="008B55E7"/>
    <w:rsid w:val="008B6B0B"/>
    <w:rsid w:val="008B6F2A"/>
    <w:rsid w:val="008B78ED"/>
    <w:rsid w:val="008B7C33"/>
    <w:rsid w:val="008C1CA9"/>
    <w:rsid w:val="008C59A5"/>
    <w:rsid w:val="008C70E0"/>
    <w:rsid w:val="008C7270"/>
    <w:rsid w:val="008C7962"/>
    <w:rsid w:val="008D0D13"/>
    <w:rsid w:val="008D3A9D"/>
    <w:rsid w:val="008D4CAB"/>
    <w:rsid w:val="008D627C"/>
    <w:rsid w:val="008D6437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0393"/>
    <w:rsid w:val="00900680"/>
    <w:rsid w:val="0090380F"/>
    <w:rsid w:val="009052DE"/>
    <w:rsid w:val="00910FAB"/>
    <w:rsid w:val="00912BAC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4AE"/>
    <w:rsid w:val="009550E2"/>
    <w:rsid w:val="00955C05"/>
    <w:rsid w:val="00957E6A"/>
    <w:rsid w:val="0096012F"/>
    <w:rsid w:val="00962359"/>
    <w:rsid w:val="009647A4"/>
    <w:rsid w:val="00964897"/>
    <w:rsid w:val="009665D8"/>
    <w:rsid w:val="00966E67"/>
    <w:rsid w:val="00971E34"/>
    <w:rsid w:val="00972493"/>
    <w:rsid w:val="0097383A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45A2"/>
    <w:rsid w:val="009A6B23"/>
    <w:rsid w:val="009A7545"/>
    <w:rsid w:val="009B0A53"/>
    <w:rsid w:val="009B1E78"/>
    <w:rsid w:val="009B2D46"/>
    <w:rsid w:val="009B301B"/>
    <w:rsid w:val="009B704B"/>
    <w:rsid w:val="009B7A3B"/>
    <w:rsid w:val="009C2D4B"/>
    <w:rsid w:val="009C4974"/>
    <w:rsid w:val="009D1395"/>
    <w:rsid w:val="009D1933"/>
    <w:rsid w:val="009D2449"/>
    <w:rsid w:val="009D28EB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0D8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04F4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64A08"/>
    <w:rsid w:val="00A705FB"/>
    <w:rsid w:val="00A73FE4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2F8C"/>
    <w:rsid w:val="00AB4CB8"/>
    <w:rsid w:val="00AB5D90"/>
    <w:rsid w:val="00AC20B1"/>
    <w:rsid w:val="00AD33B9"/>
    <w:rsid w:val="00AD3B39"/>
    <w:rsid w:val="00AD4D46"/>
    <w:rsid w:val="00AD4EEC"/>
    <w:rsid w:val="00AE2655"/>
    <w:rsid w:val="00AE7D14"/>
    <w:rsid w:val="00AF1D7A"/>
    <w:rsid w:val="00B030A0"/>
    <w:rsid w:val="00B04E6D"/>
    <w:rsid w:val="00B07BCE"/>
    <w:rsid w:val="00B10B99"/>
    <w:rsid w:val="00B10E8F"/>
    <w:rsid w:val="00B1135F"/>
    <w:rsid w:val="00B118A6"/>
    <w:rsid w:val="00B16A74"/>
    <w:rsid w:val="00B1794D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14BA"/>
    <w:rsid w:val="00B42851"/>
    <w:rsid w:val="00B44721"/>
    <w:rsid w:val="00B46A2D"/>
    <w:rsid w:val="00B514E5"/>
    <w:rsid w:val="00B51872"/>
    <w:rsid w:val="00B52FF5"/>
    <w:rsid w:val="00B533FA"/>
    <w:rsid w:val="00B534EF"/>
    <w:rsid w:val="00B53F3A"/>
    <w:rsid w:val="00B541A1"/>
    <w:rsid w:val="00B5675B"/>
    <w:rsid w:val="00B56B24"/>
    <w:rsid w:val="00B57221"/>
    <w:rsid w:val="00B57D4F"/>
    <w:rsid w:val="00B6001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41B7"/>
    <w:rsid w:val="00BA2EA6"/>
    <w:rsid w:val="00BA31E4"/>
    <w:rsid w:val="00BA40AF"/>
    <w:rsid w:val="00BA4668"/>
    <w:rsid w:val="00BA4CED"/>
    <w:rsid w:val="00BA5AA2"/>
    <w:rsid w:val="00BB1B36"/>
    <w:rsid w:val="00BB262E"/>
    <w:rsid w:val="00BB29EB"/>
    <w:rsid w:val="00BB4239"/>
    <w:rsid w:val="00BB4DC6"/>
    <w:rsid w:val="00BB7231"/>
    <w:rsid w:val="00BB7C33"/>
    <w:rsid w:val="00BC0192"/>
    <w:rsid w:val="00BC120E"/>
    <w:rsid w:val="00BC1363"/>
    <w:rsid w:val="00BC1566"/>
    <w:rsid w:val="00BC3FB3"/>
    <w:rsid w:val="00BC5413"/>
    <w:rsid w:val="00BC5A4B"/>
    <w:rsid w:val="00BC78EB"/>
    <w:rsid w:val="00BD5C6D"/>
    <w:rsid w:val="00BE468C"/>
    <w:rsid w:val="00BE58C5"/>
    <w:rsid w:val="00BE5D35"/>
    <w:rsid w:val="00BF1B33"/>
    <w:rsid w:val="00BF27FE"/>
    <w:rsid w:val="00BF28DB"/>
    <w:rsid w:val="00BF4511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2BA8"/>
    <w:rsid w:val="00C161B9"/>
    <w:rsid w:val="00C16254"/>
    <w:rsid w:val="00C162AB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3EDE"/>
    <w:rsid w:val="00C5458D"/>
    <w:rsid w:val="00C60B8F"/>
    <w:rsid w:val="00C67EA5"/>
    <w:rsid w:val="00C70A7E"/>
    <w:rsid w:val="00C71ACF"/>
    <w:rsid w:val="00C72296"/>
    <w:rsid w:val="00C73950"/>
    <w:rsid w:val="00C73EC7"/>
    <w:rsid w:val="00C74CD4"/>
    <w:rsid w:val="00C74D8C"/>
    <w:rsid w:val="00C774EA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69DE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32CF"/>
    <w:rsid w:val="00D07987"/>
    <w:rsid w:val="00D10194"/>
    <w:rsid w:val="00D12469"/>
    <w:rsid w:val="00D13D4D"/>
    <w:rsid w:val="00D14DF8"/>
    <w:rsid w:val="00D152C5"/>
    <w:rsid w:val="00D154FA"/>
    <w:rsid w:val="00D16747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5FBA"/>
    <w:rsid w:val="00D567D6"/>
    <w:rsid w:val="00D6025F"/>
    <w:rsid w:val="00D611DA"/>
    <w:rsid w:val="00D61D1B"/>
    <w:rsid w:val="00D61D85"/>
    <w:rsid w:val="00D625F1"/>
    <w:rsid w:val="00D629B6"/>
    <w:rsid w:val="00D66015"/>
    <w:rsid w:val="00D67A25"/>
    <w:rsid w:val="00D73E4A"/>
    <w:rsid w:val="00D74E7B"/>
    <w:rsid w:val="00D758DE"/>
    <w:rsid w:val="00D77B92"/>
    <w:rsid w:val="00D80C06"/>
    <w:rsid w:val="00D80F0C"/>
    <w:rsid w:val="00D92839"/>
    <w:rsid w:val="00D952C2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6A4B"/>
    <w:rsid w:val="00DC788C"/>
    <w:rsid w:val="00DD0B77"/>
    <w:rsid w:val="00DD12DD"/>
    <w:rsid w:val="00DD2397"/>
    <w:rsid w:val="00DD245A"/>
    <w:rsid w:val="00DD3B41"/>
    <w:rsid w:val="00DD47C8"/>
    <w:rsid w:val="00DD4B46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3507"/>
    <w:rsid w:val="00E04C32"/>
    <w:rsid w:val="00E11938"/>
    <w:rsid w:val="00E123E5"/>
    <w:rsid w:val="00E20F8E"/>
    <w:rsid w:val="00E21586"/>
    <w:rsid w:val="00E241D8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A4F"/>
    <w:rsid w:val="00E52603"/>
    <w:rsid w:val="00E52CD5"/>
    <w:rsid w:val="00E53054"/>
    <w:rsid w:val="00E55243"/>
    <w:rsid w:val="00E56A85"/>
    <w:rsid w:val="00E56C04"/>
    <w:rsid w:val="00E56FCF"/>
    <w:rsid w:val="00E57407"/>
    <w:rsid w:val="00E7088D"/>
    <w:rsid w:val="00E72936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32E6"/>
    <w:rsid w:val="00E9494F"/>
    <w:rsid w:val="00E95577"/>
    <w:rsid w:val="00E97B11"/>
    <w:rsid w:val="00EA23C6"/>
    <w:rsid w:val="00EA37FC"/>
    <w:rsid w:val="00EA46EC"/>
    <w:rsid w:val="00EA4D32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45CE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2AA8"/>
    <w:rsid w:val="00F0304A"/>
    <w:rsid w:val="00F034EE"/>
    <w:rsid w:val="00F0372E"/>
    <w:rsid w:val="00F073BB"/>
    <w:rsid w:val="00F108B5"/>
    <w:rsid w:val="00F13BEF"/>
    <w:rsid w:val="00F147A5"/>
    <w:rsid w:val="00F1659F"/>
    <w:rsid w:val="00F16863"/>
    <w:rsid w:val="00F16A5A"/>
    <w:rsid w:val="00F23F2F"/>
    <w:rsid w:val="00F30519"/>
    <w:rsid w:val="00F30745"/>
    <w:rsid w:val="00F3355E"/>
    <w:rsid w:val="00F34773"/>
    <w:rsid w:val="00F36873"/>
    <w:rsid w:val="00F3729D"/>
    <w:rsid w:val="00F41E9F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E28"/>
    <w:rsid w:val="00F76C99"/>
    <w:rsid w:val="00F7711B"/>
    <w:rsid w:val="00F81281"/>
    <w:rsid w:val="00F8155B"/>
    <w:rsid w:val="00F8158B"/>
    <w:rsid w:val="00F82ECA"/>
    <w:rsid w:val="00F83909"/>
    <w:rsid w:val="00F839A7"/>
    <w:rsid w:val="00F83B9F"/>
    <w:rsid w:val="00F85954"/>
    <w:rsid w:val="00F866AF"/>
    <w:rsid w:val="00F92EF9"/>
    <w:rsid w:val="00F93523"/>
    <w:rsid w:val="00F95034"/>
    <w:rsid w:val="00FA275F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3D0BD8EE"/>
    <w:rsid w:val="455AB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BD17F6"/>
  <w15:docId w15:val="{36DABFE6-27FB-452A-A718-DF0ABC31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right="72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Emphasis">
    <w:name w:val="ATA Emphasis"/>
    <w:basedOn w:val="DefaultParagraphFont"/>
    <w:uiPriority w:val="1"/>
    <w:qFormat/>
    <w:rsid w:val="00545859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22759F"/>
    <w:pPr>
      <w:numPr>
        <w:numId w:val="25"/>
      </w:numPr>
      <w:ind w:right="72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22759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4585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4585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45859"/>
    <w:rPr>
      <w:rFonts w:ascii="Cambria" w:hAnsi="Cambria"/>
      <w:color w:val="262626" w:themeColor="text1" w:themeTint="D9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34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D952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234F7-78B6-4B19-8505-BB3D720EBD42}"/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12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16: Communicating with the Media and the Public</vt:lpstr>
    </vt:vector>
  </TitlesOfParts>
  <Manager>ATA</Manager>
  <Company>Office of Antiterrorism Assistance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16: Communicating with the Media and the Public</dc:title>
  <dc:subject>Interdicting Terrorist Activites</dc:subject>
  <dc:creator>ATA</dc:creator>
  <cp:keywords/>
  <cp:lastModifiedBy>Blackwell, Charita D</cp:lastModifiedBy>
  <cp:revision>27</cp:revision>
  <cp:lastPrinted>2013-12-04T15:49:00Z</cp:lastPrinted>
  <dcterms:created xsi:type="dcterms:W3CDTF">2020-09-14T21:04:00Z</dcterms:created>
  <dcterms:modified xsi:type="dcterms:W3CDTF">2023-03-25T01:03:00Z</dcterms:modified>
  <cp:category>Workbook 16.2: Boston Marathon Case Study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2022-09-05T22:59:28Z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9daca588-3fb5-446f-ad54-b63e7b8a7687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