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2632" w14:textId="2AEBEB38" w:rsidR="00EE7DFC" w:rsidRPr="00644D00" w:rsidRDefault="00F47358" w:rsidP="49AEA1A3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C8021F" wp14:editId="0F37021D">
            <wp:simplePos x="0" y="0"/>
            <wp:positionH relativeFrom="column">
              <wp:posOffset>5715000</wp:posOffset>
            </wp:positionH>
            <wp:positionV relativeFrom="paragraph">
              <wp:posOffset>-9525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15.4 : R</w:t>
      </w:r>
      <w:r w:rsidR="00F85F6E">
        <w:rPr>
          <w:color w:val="FFFFFF" w:themeColor="background1"/>
        </w:rPr>
        <w:t>É</w:t>
      </w:r>
      <w:r>
        <w:rPr>
          <w:color w:val="FFFFFF" w:themeColor="background1"/>
        </w:rPr>
        <w:t>action aux d</w:t>
      </w:r>
      <w:r w:rsidR="00F85F6E">
        <w:rPr>
          <w:color w:val="FFFFFF" w:themeColor="background1"/>
        </w:rPr>
        <w:t>É</w:t>
      </w:r>
      <w:r>
        <w:rPr>
          <w:color w:val="FFFFFF" w:themeColor="background1"/>
        </w:rPr>
        <w:t>n</w:t>
      </w:r>
      <w:r w:rsidR="00F85F6E">
        <w:rPr>
          <w:color w:val="FFFFFF" w:themeColor="background1"/>
        </w:rPr>
        <w:t>É</w:t>
      </w:r>
      <w:r>
        <w:rPr>
          <w:color w:val="FFFFFF" w:themeColor="background1"/>
        </w:rPr>
        <w:t>gations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565AC" w14:paraId="17831A30" w14:textId="77777777" w:rsidTr="00F85F6E">
        <w:trPr>
          <w:cantSplit/>
          <w:trHeight w:val="738"/>
        </w:trPr>
        <w:tc>
          <w:tcPr>
            <w:tcW w:w="1500" w:type="pct"/>
            <w:hideMark/>
          </w:tcPr>
          <w:p w14:paraId="17831A2E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17831A2F" w14:textId="125B4455" w:rsidR="00E565AC" w:rsidRDefault="007B0694" w:rsidP="001C06A7">
            <w:pPr>
              <w:pStyle w:val="ATABody"/>
            </w:pPr>
            <w:r>
              <w:t>Fournir aux interrogateurs des recommandations sur la manière de réagir aux dénégations d’un suspect.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0694" w14:paraId="47BFB1D4" w14:textId="77777777" w:rsidTr="00931B53">
        <w:tc>
          <w:tcPr>
            <w:tcW w:w="9350" w:type="dxa"/>
          </w:tcPr>
          <w:p w14:paraId="4445E06E" w14:textId="235E23CA" w:rsidR="007B0694" w:rsidRDefault="007B0694" w:rsidP="00626DF6">
            <w:pPr>
              <w:pStyle w:val="ATAHeadingLevel1"/>
              <w:spacing w:before="60"/>
            </w:pPr>
            <w:r>
              <w:t>Reconnaître et neutraliser les dénégations</w:t>
            </w:r>
          </w:p>
        </w:tc>
      </w:tr>
      <w:tr w:rsidR="007B0694" w14:paraId="04F1B7A1" w14:textId="77777777" w:rsidTr="00931B53">
        <w:tc>
          <w:tcPr>
            <w:tcW w:w="9350" w:type="dxa"/>
          </w:tcPr>
          <w:p w14:paraId="7570E3C6" w14:textId="3AF19C10" w:rsidR="007B0694" w:rsidRDefault="007B0694" w:rsidP="007B0694">
            <w:pPr>
              <w:pStyle w:val="ATABulletLevel01BodySlide"/>
              <w:numPr>
                <w:ilvl w:val="0"/>
                <w:numId w:val="34"/>
              </w:numPr>
            </w:pPr>
            <w:r>
              <w:t xml:space="preserve">Tant les suspects innocents que les suspects coupables tentent généralement de nier les faits lors d’un interrogatoire non coercitif. </w:t>
            </w:r>
          </w:p>
          <w:p w14:paraId="06DF25FC" w14:textId="77777777" w:rsidR="007B069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Les dénégations d’un suspect innocent auront tendance à s’intensifier plus on l’accusera.</w:t>
            </w:r>
          </w:p>
          <w:p w14:paraId="39C0DC2F" w14:textId="351B1F5E" w:rsidR="007B0694" w:rsidRDefault="1B24C27E" w:rsidP="1FFBFE88">
            <w:pPr>
              <w:pStyle w:val="ATABulletLevel01BodySlide"/>
              <w:spacing w:line="259" w:lineRule="auto"/>
              <w:ind w:left="720" w:hanging="360"/>
            </w:pPr>
            <w:r>
              <w:t xml:space="preserve">Si les dénégations initiales d’un suspect coupable peuvent être vigoureuses, elles auront néanmoins tendance à diminuer d'intensité au fil des heures et lorsqu'on emploie le bon thème. </w:t>
            </w:r>
          </w:p>
          <w:p w14:paraId="36CBD449" w14:textId="09C95B90" w:rsid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 xml:space="preserve">Observer attentivement les premières dénégations du suspect permet de rassembler des informations utiles à cet égard, comme le niveau d'intensité et de résistance. </w:t>
            </w:r>
          </w:p>
          <w:p w14:paraId="7B205E3A" w14:textId="77777777" w:rsid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 xml:space="preserve">Il faudra essayer d'empêcher le suspect de tenter de nier les accusations une seconde fois. </w:t>
            </w:r>
          </w:p>
          <w:p w14:paraId="449BCCDC" w14:textId="7430B50C" w:rsidR="007B0694" w:rsidRDefault="1B24C27E" w:rsidP="1FFBFE88">
            <w:pPr>
              <w:pStyle w:val="ATABulletLevel01BodySlide"/>
              <w:numPr>
                <w:ilvl w:val="0"/>
                <w:numId w:val="35"/>
              </w:numPr>
              <w:spacing w:line="259" w:lineRule="auto"/>
            </w:pPr>
            <w:r>
              <w:t xml:space="preserve">Plus on laissera le suspect nier, plus il sera confiant et ancré dans ses dénégations et moins il sera disposé à coopérer ou à avouer. </w:t>
            </w:r>
          </w:p>
          <w:p w14:paraId="280EF3AF" w14:textId="58F509BC" w:rsid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 xml:space="preserve">Éviter les moments de silence qui pourraient donner au suspect l’occasion d'exprimer ses dénégations. </w:t>
            </w:r>
          </w:p>
          <w:p w14:paraId="2015F200" w14:textId="1C92835C" w:rsid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>Mieux l’on saura reconnaître le moment où le suspect s'apprête à nier, mieux l’on saura contrer ses dénégations.</w:t>
            </w:r>
          </w:p>
        </w:tc>
      </w:tr>
      <w:tr w:rsidR="007B0694" w:rsidRPr="007B0694" w14:paraId="1FA3CFA2" w14:textId="77777777" w:rsidTr="00931B53">
        <w:tc>
          <w:tcPr>
            <w:tcW w:w="9350" w:type="dxa"/>
          </w:tcPr>
          <w:p w14:paraId="54536DB0" w14:textId="0CCA6B3F" w:rsidR="007B0694" w:rsidRPr="007B0694" w:rsidRDefault="007B0694" w:rsidP="00626DF6">
            <w:pPr>
              <w:pStyle w:val="ATAHeadingLevel2"/>
              <w:spacing w:before="60"/>
              <w:rPr>
                <w:u w:val="none"/>
              </w:rPr>
            </w:pPr>
            <w:r>
              <w:rPr>
                <w:u w:val="none"/>
              </w:rPr>
              <w:t>Signes verbaux et non verbaux de dénégation</w:t>
            </w:r>
          </w:p>
        </w:tc>
      </w:tr>
      <w:tr w:rsidR="007B0694" w14:paraId="1AEA4DE1" w14:textId="77777777" w:rsidTr="00931B53">
        <w:tc>
          <w:tcPr>
            <w:tcW w:w="9350" w:type="dxa"/>
          </w:tcPr>
          <w:p w14:paraId="1A4AA2E7" w14:textId="77777777" w:rsidR="007B0694" w:rsidRP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>Signes non verbaux – Le suspect...</w:t>
            </w:r>
          </w:p>
          <w:p w14:paraId="3C584086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Secoue la tête.</w:t>
            </w:r>
          </w:p>
          <w:p w14:paraId="20B02EE5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Fronce les sourcils.</w:t>
            </w:r>
          </w:p>
          <w:p w14:paraId="2203D558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Ouvre la bouche pour parler.</w:t>
            </w:r>
          </w:p>
          <w:p w14:paraId="081C55C2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Prend une respiration pour parler.</w:t>
            </w:r>
          </w:p>
          <w:p w14:paraId="42129D36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Roule les yeux.</w:t>
            </w:r>
          </w:p>
          <w:p w14:paraId="5F260120" w14:textId="77777777" w:rsidR="007B0694" w:rsidRPr="002F5E7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Cesse de regarder son interlocuteur dans les yeux.</w:t>
            </w:r>
          </w:p>
          <w:p w14:paraId="4C8111C0" w14:textId="77777777" w:rsidR="007B0694" w:rsidRDefault="1B24C27E" w:rsidP="1FFBFE88">
            <w:pPr>
              <w:pStyle w:val="ATABulletLevel01BodySlide"/>
              <w:spacing w:line="259" w:lineRule="auto"/>
              <w:ind w:left="720" w:hanging="360"/>
              <w:rPr>
                <w:rFonts w:eastAsia="Cambria" w:cs="Cambria"/>
                <w:color w:val="000000" w:themeColor="text1"/>
              </w:rPr>
            </w:pPr>
            <w:r>
              <w:t>Lève la main en signe de « stop » ou pour demander la permission de parler.</w:t>
            </w:r>
          </w:p>
          <w:p w14:paraId="2BD05CAE" w14:textId="77777777" w:rsidR="007B0694" w:rsidRDefault="1B24C27E" w:rsidP="1FFBFE88">
            <w:pPr>
              <w:pStyle w:val="ATABulletLevel01BodySlide"/>
              <w:spacing w:line="259" w:lineRule="auto"/>
              <w:ind w:hanging="360"/>
            </w:pPr>
            <w:r>
              <w:t>Signes verbaux – Formules pour demander la permission de parler :</w:t>
            </w:r>
          </w:p>
          <w:p w14:paraId="72457415" w14:textId="77777777" w:rsidR="007B0694" w:rsidRDefault="007B0694" w:rsidP="007B0694">
            <w:pPr>
              <w:pStyle w:val="ATABulletLevel01BodySlide"/>
              <w:numPr>
                <w:ilvl w:val="0"/>
                <w:numId w:val="37"/>
              </w:numPr>
            </w:pPr>
            <w:r>
              <w:t>« Puis-je… »</w:t>
            </w:r>
          </w:p>
          <w:p w14:paraId="473F777A" w14:textId="77777777" w:rsidR="007B0694" w:rsidRDefault="007B0694" w:rsidP="007B0694">
            <w:pPr>
              <w:pStyle w:val="ATABulletLevel01BodySlide"/>
              <w:numPr>
                <w:ilvl w:val="0"/>
                <w:numId w:val="37"/>
              </w:numPr>
            </w:pPr>
            <w:r>
              <w:t>« Est-ce que je peux juste dire… »</w:t>
            </w:r>
          </w:p>
          <w:p w14:paraId="4ADAAB3C" w14:textId="1C715DAE" w:rsidR="007B0694" w:rsidRDefault="007B0694" w:rsidP="007B0694">
            <w:pPr>
              <w:pStyle w:val="ATABulletLevel01BodySlide"/>
              <w:numPr>
                <w:ilvl w:val="0"/>
                <w:numId w:val="37"/>
              </w:numPr>
            </w:pPr>
            <w:r>
              <w:t>« Mais je n’ai pas… »</w:t>
            </w:r>
          </w:p>
          <w:p w14:paraId="41481CDF" w14:textId="41E7EB66" w:rsidR="007B0694" w:rsidRDefault="007B0694" w:rsidP="007B0694">
            <w:pPr>
              <w:pStyle w:val="ATABulletLevel01BodySlide"/>
              <w:numPr>
                <w:ilvl w:val="0"/>
                <w:numId w:val="37"/>
              </w:numPr>
            </w:pPr>
            <w:r>
              <w:t>« Est-ce que je peux juste dire quelque chose, s’il vous plaît… »</w:t>
            </w:r>
          </w:p>
          <w:p w14:paraId="14BC67E4" w14:textId="3BC61A58" w:rsidR="007B0694" w:rsidRDefault="007B0694" w:rsidP="007B0694">
            <w:pPr>
              <w:pStyle w:val="ATABulletLevel02BodySlide"/>
              <w:numPr>
                <w:ilvl w:val="0"/>
                <w:numId w:val="36"/>
              </w:numPr>
              <w:ind w:hanging="270"/>
            </w:pPr>
            <w:r>
              <w:t>En général, le suspect manifestera plusieurs signes verbaux et non verbaux juste avant d'exprimer ses dénégations.</w:t>
            </w:r>
          </w:p>
        </w:tc>
      </w:tr>
      <w:tr w:rsidR="007B0694" w:rsidRPr="00626DF6" w14:paraId="6E9C3941" w14:textId="77777777" w:rsidTr="00931B53">
        <w:tc>
          <w:tcPr>
            <w:tcW w:w="9350" w:type="dxa"/>
          </w:tcPr>
          <w:p w14:paraId="25920A27" w14:textId="52518AE2" w:rsidR="007B0694" w:rsidRPr="00626DF6" w:rsidRDefault="007B0694" w:rsidP="00626DF6">
            <w:pPr>
              <w:pStyle w:val="ATAHeadingLevel2"/>
              <w:spacing w:before="60"/>
              <w:rPr>
                <w:u w:val="none"/>
              </w:rPr>
            </w:pPr>
            <w:r>
              <w:rPr>
                <w:u w:val="none"/>
              </w:rPr>
              <w:t>Empêcher les dénégations</w:t>
            </w:r>
          </w:p>
        </w:tc>
      </w:tr>
      <w:tr w:rsidR="007B0694" w14:paraId="45BD7390" w14:textId="77777777" w:rsidTr="00931B53">
        <w:tc>
          <w:tcPr>
            <w:tcW w:w="9350" w:type="dxa"/>
          </w:tcPr>
          <w:p w14:paraId="29B3B1FC" w14:textId="77777777" w:rsidR="00626DF6" w:rsidRDefault="1B24C27E" w:rsidP="1FFBFE88">
            <w:pPr>
              <w:pStyle w:val="ATABulletLevel02BodySlide"/>
              <w:spacing w:line="259" w:lineRule="auto"/>
              <w:ind w:left="360" w:hanging="270"/>
            </w:pPr>
            <w:r>
              <w:t xml:space="preserve">Employer le prénom du suspect et une phrase introductive pour capter son attention. </w:t>
            </w:r>
            <w:r>
              <w:rPr>
                <w:rStyle w:val="ATABulletLevel02BodySlideChar"/>
              </w:rPr>
              <w:t>Par exemple</w:t>
            </w:r>
            <w:r>
              <w:t> :</w:t>
            </w:r>
          </w:p>
          <w:p w14:paraId="3C544226" w14:textId="77777777" w:rsidR="00626DF6" w:rsidRDefault="007B0694" w:rsidP="00626DF6">
            <w:pPr>
              <w:pStyle w:val="ATABulletLevel01BodySlide"/>
              <w:numPr>
                <w:ilvl w:val="0"/>
                <w:numId w:val="39"/>
              </w:numPr>
            </w:pPr>
            <w:r>
              <w:lastRenderedPageBreak/>
              <w:t>« Joe, attend… »</w:t>
            </w:r>
          </w:p>
          <w:p w14:paraId="2FD69E9F" w14:textId="77777777" w:rsidR="00626DF6" w:rsidRDefault="007B0694" w:rsidP="00626DF6">
            <w:pPr>
              <w:pStyle w:val="ATABulletLevel01BodySlide"/>
              <w:numPr>
                <w:ilvl w:val="0"/>
                <w:numId w:val="39"/>
              </w:numPr>
            </w:pPr>
            <w:r>
              <w:t>« Rébecca, laisse-moi terminer… »</w:t>
            </w:r>
          </w:p>
          <w:p w14:paraId="61DE5748" w14:textId="77777777" w:rsidR="00626DF6" w:rsidRDefault="007B0694" w:rsidP="00626DF6">
            <w:pPr>
              <w:pStyle w:val="ATABulletLevel01BodySlide"/>
              <w:numPr>
                <w:ilvl w:val="0"/>
                <w:numId w:val="39"/>
              </w:numPr>
            </w:pPr>
            <w:r>
              <w:t>« Akira, juste une minute… »</w:t>
            </w:r>
          </w:p>
          <w:p w14:paraId="00338947" w14:textId="29C76223" w:rsidR="007B0694" w:rsidRDefault="007B0694" w:rsidP="00626DF6">
            <w:pPr>
              <w:pStyle w:val="ATABulletLevel01BodySlide"/>
              <w:numPr>
                <w:ilvl w:val="0"/>
                <w:numId w:val="39"/>
              </w:numPr>
            </w:pPr>
            <w:r>
              <w:t>« Bill, arrête… »</w:t>
            </w:r>
          </w:p>
          <w:p w14:paraId="1DF0D643" w14:textId="77777777" w:rsidR="00626DF6" w:rsidRDefault="1B24C27E" w:rsidP="1FFBFE88">
            <w:pPr>
              <w:pStyle w:val="ATABulletLevel02BodySlide"/>
              <w:spacing w:line="259" w:lineRule="auto"/>
              <w:ind w:left="360" w:hanging="270"/>
            </w:pPr>
            <w:r>
              <w:t>Prononcer cette phrase introductive en faisant l’un des gestes suivants :</w:t>
            </w:r>
          </w:p>
          <w:p w14:paraId="16E02343" w14:textId="77777777" w:rsidR="00626DF6" w:rsidRDefault="007B0694" w:rsidP="00626DF6">
            <w:pPr>
              <w:pStyle w:val="ATABulletLevel01BodySlide"/>
              <w:numPr>
                <w:ilvl w:val="0"/>
                <w:numId w:val="40"/>
              </w:numPr>
            </w:pPr>
            <w:r>
              <w:t>Lever la main en signe de « stop ».</w:t>
            </w:r>
          </w:p>
          <w:p w14:paraId="08C85235" w14:textId="61ADCC4F" w:rsidR="007B0694" w:rsidRDefault="007B0694" w:rsidP="00626DF6">
            <w:pPr>
              <w:pStyle w:val="ATABulletLevel01BodySlide"/>
              <w:numPr>
                <w:ilvl w:val="0"/>
                <w:numId w:val="40"/>
              </w:numPr>
            </w:pPr>
            <w:r>
              <w:t>Détourner la tête pour ne plus regarder le suspect dans les yeux.</w:t>
            </w:r>
          </w:p>
          <w:p w14:paraId="5C2F3DCE" w14:textId="77777777" w:rsidR="00626DF6" w:rsidRDefault="1B24C27E" w:rsidP="1FFBFE88">
            <w:pPr>
              <w:pStyle w:val="ATABulletLevel02BodySlide"/>
              <w:spacing w:line="259" w:lineRule="auto"/>
              <w:ind w:left="360" w:hanging="270"/>
            </w:pPr>
            <w:r>
              <w:t>Poursuivre par un message important qui suscitera la curiosité du suspect, ce qui l’encouragera à se taire pour écouter. Par exemple :</w:t>
            </w:r>
          </w:p>
          <w:p w14:paraId="61C2BF04" w14:textId="77777777" w:rsidR="00626DF6" w:rsidRDefault="007B0694" w:rsidP="00626DF6">
            <w:pPr>
              <w:pStyle w:val="ATABulletLevel01BodySlide"/>
              <w:numPr>
                <w:ilvl w:val="0"/>
                <w:numId w:val="41"/>
              </w:numPr>
            </w:pPr>
            <w:r>
              <w:t>« … il est important que tu entendes ceci... »</w:t>
            </w:r>
          </w:p>
          <w:p w14:paraId="43F0C97A" w14:textId="77777777" w:rsidR="00626DF6" w:rsidRDefault="007B0694" w:rsidP="00626DF6">
            <w:pPr>
              <w:pStyle w:val="ATABulletLevel01BodySlide"/>
              <w:numPr>
                <w:ilvl w:val="0"/>
                <w:numId w:val="41"/>
              </w:numPr>
            </w:pPr>
            <w:r>
              <w:t>« … laisse-moi t'expliquer ce que je veux dire… »</w:t>
            </w:r>
          </w:p>
          <w:p w14:paraId="7526CD3B" w14:textId="77777777" w:rsidR="00626DF6" w:rsidRDefault="007B0694" w:rsidP="00626DF6">
            <w:pPr>
              <w:pStyle w:val="ATABulletLevel01BodySlide"/>
              <w:numPr>
                <w:ilvl w:val="0"/>
                <w:numId w:val="41"/>
              </w:numPr>
            </w:pPr>
            <w:r>
              <w:t>« … laisse-moi tout te raconter… »</w:t>
            </w:r>
          </w:p>
          <w:p w14:paraId="17F39388" w14:textId="77777777" w:rsidR="00626DF6" w:rsidRDefault="007B0694" w:rsidP="00626DF6">
            <w:pPr>
              <w:pStyle w:val="ATABulletLevel01BodySlide"/>
              <w:numPr>
                <w:ilvl w:val="0"/>
                <w:numId w:val="41"/>
              </w:numPr>
            </w:pPr>
            <w:r>
              <w:t>« … il y a deux choses importantes qu’il faut que je te dise… »</w:t>
            </w:r>
          </w:p>
          <w:p w14:paraId="5B5F75D7" w14:textId="766F7403" w:rsidR="007B0694" w:rsidRDefault="007B0694" w:rsidP="00626DF6">
            <w:pPr>
              <w:pStyle w:val="ATABulletLevel01BodySlide"/>
              <w:numPr>
                <w:ilvl w:val="0"/>
                <w:numId w:val="41"/>
              </w:numPr>
            </w:pPr>
            <w:r>
              <w:t>« … écoute-moi une minute et ensuite j'écouterai ce que tu as à me dire… »</w:t>
            </w:r>
          </w:p>
          <w:p w14:paraId="7838A2E7" w14:textId="77777777" w:rsidR="007B0694" w:rsidRDefault="1B24C27E" w:rsidP="1FFBFE88">
            <w:pPr>
              <w:pStyle w:val="ATABulletLevel02BodySlide"/>
              <w:spacing w:line="259" w:lineRule="auto"/>
              <w:ind w:left="360" w:hanging="270"/>
              <w:rPr>
                <w:rFonts w:eastAsia="Cambria" w:cs="Cambria"/>
                <w:color w:val="000000" w:themeColor="text1"/>
              </w:rPr>
            </w:pPr>
            <w:r>
              <w:t xml:space="preserve">Après avoir empêché le suspect d'exprimer ses dénégations, revenir immédiatement à l'élaboration du thème, peut-être en choisissant un thème différent. </w:t>
            </w:r>
          </w:p>
          <w:p w14:paraId="29EEB5B4" w14:textId="0ACC4089" w:rsidR="007B0694" w:rsidRDefault="1B24C27E" w:rsidP="1FFBFE88">
            <w:pPr>
              <w:pStyle w:val="ATABulletLevel02BodySlide"/>
              <w:spacing w:line="259" w:lineRule="auto"/>
              <w:ind w:left="360" w:hanging="270"/>
            </w:pPr>
            <w:r>
              <w:t xml:space="preserve">Si le suspect réussit à exprimer ses dénégations, il faudra à nouveau l'accuser d'être impliqué dans le crime ou de ne pas dire entièrement la vérité, puis revenir à l'élaboration du thème. </w:t>
            </w:r>
          </w:p>
        </w:tc>
      </w:tr>
    </w:tbl>
    <w:p w14:paraId="17831A34" w14:textId="6DDFEC72" w:rsidR="009357D3" w:rsidRDefault="009357D3" w:rsidP="009357D3">
      <w:pPr>
        <w:pStyle w:val="ATABody"/>
      </w:pPr>
    </w:p>
    <w:p w14:paraId="17831A4B" w14:textId="465908BD" w:rsidR="009357D3" w:rsidRDefault="009357D3" w:rsidP="002F5E74">
      <w:pPr>
        <w:pStyle w:val="ATABody"/>
      </w:pPr>
    </w:p>
    <w:sectPr w:rsidR="009357D3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9034" w14:textId="77777777" w:rsidR="000C1C05" w:rsidRDefault="000C1C05" w:rsidP="00C82114">
      <w:r>
        <w:separator/>
      </w:r>
    </w:p>
  </w:endnote>
  <w:endnote w:type="continuationSeparator" w:id="0">
    <w:p w14:paraId="33EB46C9" w14:textId="77777777" w:rsidR="000C1C05" w:rsidRDefault="000C1C0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7B0694" w:rsidRPr="007C1E89" w14:paraId="17831A6A" w14:textId="77777777" w:rsidTr="39C779A5">
      <w:tc>
        <w:tcPr>
          <w:tcW w:w="8100" w:type="dxa"/>
          <w:shd w:val="clear" w:color="auto" w:fill="auto"/>
        </w:tcPr>
        <w:p w14:paraId="17831A68" w14:textId="7603FAC3" w:rsidR="007B0694" w:rsidRPr="00F85F6E" w:rsidRDefault="39C779A5" w:rsidP="009357D3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F85F6E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17831A69" w14:textId="4B71BD3B" w:rsidR="007B0694" w:rsidRPr="00F16863" w:rsidRDefault="007B0694" w:rsidP="007B0694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6D2C9F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931B5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6D2C9F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17831A6B" w14:textId="77777777" w:rsidR="007B0694" w:rsidRPr="00F85F6E" w:rsidRDefault="007B0694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F85F6E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988F" w14:textId="77777777" w:rsidR="000C1C05" w:rsidRDefault="000C1C05" w:rsidP="00C82114">
      <w:r>
        <w:separator/>
      </w:r>
    </w:p>
  </w:footnote>
  <w:footnote w:type="continuationSeparator" w:id="0">
    <w:p w14:paraId="60B4A0A6" w14:textId="77777777" w:rsidR="000C1C05" w:rsidRDefault="000C1C0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7B0694" w:rsidRPr="00456B51" w14:paraId="17831A66" w14:textId="77777777" w:rsidTr="00F16863">
      <w:tc>
        <w:tcPr>
          <w:tcW w:w="4788" w:type="dxa"/>
          <w:shd w:val="clear" w:color="auto" w:fill="auto"/>
          <w:vAlign w:val="bottom"/>
        </w:tcPr>
        <w:p w14:paraId="17831A64" w14:textId="5CF138D0" w:rsidR="007B0694" w:rsidRPr="00456B51" w:rsidRDefault="007B0694" w:rsidP="009357D3">
          <w:pPr>
            <w:pStyle w:val="ATAHeader"/>
          </w:pPr>
          <w:r>
            <w:t xml:space="preserve">Module 15: </w:t>
          </w:r>
          <w:proofErr w:type="spellStart"/>
          <w:r>
            <w:t>Noncoercive</w:t>
          </w:r>
          <w:proofErr w:type="spellEnd"/>
          <w:r>
            <w:t xml:space="preserve"> Interrogation</w:t>
          </w:r>
        </w:p>
      </w:tc>
      <w:tc>
        <w:tcPr>
          <w:tcW w:w="4788" w:type="dxa"/>
          <w:shd w:val="clear" w:color="auto" w:fill="auto"/>
          <w:vAlign w:val="bottom"/>
        </w:tcPr>
        <w:p w14:paraId="17831A65" w14:textId="00D6FAC4" w:rsidR="007B0694" w:rsidRPr="00456B51" w:rsidRDefault="002D7C66" w:rsidP="00F47358">
          <w:pPr>
            <w:pStyle w:val="ATAHeader"/>
            <w:ind w:right="90"/>
            <w:jc w:val="right"/>
          </w:pPr>
          <w:proofErr w:type="spellStart"/>
          <w:r>
            <w:t>Workbook</w:t>
          </w:r>
          <w:proofErr w:type="spellEnd"/>
          <w:r>
            <w:t xml:space="preserve"> 15.</w:t>
          </w:r>
          <w:r w:rsidR="00931B53">
            <w:t>4</w:t>
          </w:r>
          <w:r>
            <w:t xml:space="preserve">: Handling </w:t>
          </w:r>
          <w:proofErr w:type="spellStart"/>
          <w:r>
            <w:t>Denials</w:t>
          </w:r>
          <w:proofErr w:type="spellEnd"/>
        </w:p>
      </w:tc>
    </w:tr>
  </w:tbl>
  <w:p w14:paraId="17831A67" w14:textId="77777777" w:rsidR="007B0694" w:rsidRPr="00456B51" w:rsidRDefault="007B0694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97C"/>
    <w:multiLevelType w:val="hybridMultilevel"/>
    <w:tmpl w:val="D5C6A5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60B9F"/>
    <w:multiLevelType w:val="hybridMultilevel"/>
    <w:tmpl w:val="FE1C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5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84FD0"/>
    <w:multiLevelType w:val="hybridMultilevel"/>
    <w:tmpl w:val="340ACF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00F92"/>
    <w:multiLevelType w:val="hybridMultilevel"/>
    <w:tmpl w:val="2A2E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4EB121A1"/>
    <w:multiLevelType w:val="hybridMultilevel"/>
    <w:tmpl w:val="D078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37CC7"/>
    <w:multiLevelType w:val="hybridMultilevel"/>
    <w:tmpl w:val="D92C265E"/>
    <w:lvl w:ilvl="0" w:tplc="61F676C6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D134BF"/>
    <w:multiLevelType w:val="hybridMultilevel"/>
    <w:tmpl w:val="9D28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52FB0"/>
    <w:multiLevelType w:val="hybridMultilevel"/>
    <w:tmpl w:val="5D26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97B8F"/>
    <w:multiLevelType w:val="hybridMultilevel"/>
    <w:tmpl w:val="E5BE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02438">
    <w:abstractNumId w:val="9"/>
  </w:num>
  <w:num w:numId="2" w16cid:durableId="188954493">
    <w:abstractNumId w:val="14"/>
  </w:num>
  <w:num w:numId="3" w16cid:durableId="1388720847">
    <w:abstractNumId w:val="21"/>
  </w:num>
  <w:num w:numId="4" w16cid:durableId="603925438">
    <w:abstractNumId w:val="10"/>
  </w:num>
  <w:num w:numId="5" w16cid:durableId="1588923503">
    <w:abstractNumId w:val="5"/>
  </w:num>
  <w:num w:numId="6" w16cid:durableId="1745832796">
    <w:abstractNumId w:val="12"/>
  </w:num>
  <w:num w:numId="7" w16cid:durableId="1368480741">
    <w:abstractNumId w:val="11"/>
  </w:num>
  <w:num w:numId="8" w16cid:durableId="1374885240">
    <w:abstractNumId w:val="7"/>
  </w:num>
  <w:num w:numId="9" w16cid:durableId="1813910602">
    <w:abstractNumId w:val="0"/>
  </w:num>
  <w:num w:numId="10" w16cid:durableId="1061249696">
    <w:abstractNumId w:val="20"/>
  </w:num>
  <w:num w:numId="11" w16cid:durableId="1814059383">
    <w:abstractNumId w:val="21"/>
  </w:num>
  <w:num w:numId="12" w16cid:durableId="1835800795">
    <w:abstractNumId w:val="21"/>
  </w:num>
  <w:num w:numId="13" w16cid:durableId="1530530886">
    <w:abstractNumId w:val="14"/>
  </w:num>
  <w:num w:numId="14" w16cid:durableId="1408259452">
    <w:abstractNumId w:val="30"/>
  </w:num>
  <w:num w:numId="15" w16cid:durableId="1640499783">
    <w:abstractNumId w:val="15"/>
  </w:num>
  <w:num w:numId="16" w16cid:durableId="679548732">
    <w:abstractNumId w:val="31"/>
  </w:num>
  <w:num w:numId="17" w16cid:durableId="1207763965">
    <w:abstractNumId w:val="31"/>
    <w:lvlOverride w:ilvl="0">
      <w:startOverride w:val="1"/>
    </w:lvlOverride>
  </w:num>
  <w:num w:numId="18" w16cid:durableId="1489009369">
    <w:abstractNumId w:val="30"/>
  </w:num>
  <w:num w:numId="19" w16cid:durableId="212276487">
    <w:abstractNumId w:val="4"/>
  </w:num>
  <w:num w:numId="20" w16cid:durableId="1316447928">
    <w:abstractNumId w:val="31"/>
  </w:num>
  <w:num w:numId="21" w16cid:durableId="9187291">
    <w:abstractNumId w:val="1"/>
  </w:num>
  <w:num w:numId="22" w16cid:durableId="1986934774">
    <w:abstractNumId w:val="19"/>
  </w:num>
  <w:num w:numId="23" w16cid:durableId="25370553">
    <w:abstractNumId w:val="26"/>
  </w:num>
  <w:num w:numId="24" w16cid:durableId="1287009410">
    <w:abstractNumId w:val="27"/>
  </w:num>
  <w:num w:numId="25" w16cid:durableId="154089707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1017371">
    <w:abstractNumId w:val="8"/>
  </w:num>
  <w:num w:numId="27" w16cid:durableId="4651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0350350">
    <w:abstractNumId w:val="16"/>
  </w:num>
  <w:num w:numId="29" w16cid:durableId="704208719">
    <w:abstractNumId w:val="16"/>
    <w:lvlOverride w:ilvl="0">
      <w:startOverride w:val="1"/>
    </w:lvlOverride>
  </w:num>
  <w:num w:numId="30" w16cid:durableId="371152504">
    <w:abstractNumId w:val="28"/>
  </w:num>
  <w:num w:numId="31" w16cid:durableId="1207329239">
    <w:abstractNumId w:val="25"/>
  </w:num>
  <w:num w:numId="32" w16cid:durableId="403996618">
    <w:abstractNumId w:val="22"/>
  </w:num>
  <w:num w:numId="33" w16cid:durableId="317923416">
    <w:abstractNumId w:val="18"/>
  </w:num>
  <w:num w:numId="34" w16cid:durableId="1627076801">
    <w:abstractNumId w:val="2"/>
  </w:num>
  <w:num w:numId="35" w16cid:durableId="209805744">
    <w:abstractNumId w:val="23"/>
  </w:num>
  <w:num w:numId="36" w16cid:durableId="2088458038">
    <w:abstractNumId w:val="6"/>
  </w:num>
  <w:num w:numId="37" w16cid:durableId="707487800">
    <w:abstractNumId w:val="3"/>
  </w:num>
  <w:num w:numId="38" w16cid:durableId="471024256">
    <w:abstractNumId w:val="24"/>
  </w:num>
  <w:num w:numId="39" w16cid:durableId="44332785">
    <w:abstractNumId w:val="29"/>
  </w:num>
  <w:num w:numId="40" w16cid:durableId="1175077820">
    <w:abstractNumId w:val="17"/>
  </w:num>
  <w:num w:numId="41" w16cid:durableId="5999942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1C05"/>
    <w:rsid w:val="000C6B13"/>
    <w:rsid w:val="000C78A3"/>
    <w:rsid w:val="000D18CC"/>
    <w:rsid w:val="000D3A89"/>
    <w:rsid w:val="000D44FF"/>
    <w:rsid w:val="000D4AA5"/>
    <w:rsid w:val="000D4E8E"/>
    <w:rsid w:val="000D6923"/>
    <w:rsid w:val="000E053F"/>
    <w:rsid w:val="000E3FE2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61E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37A9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06A7"/>
    <w:rsid w:val="001C333B"/>
    <w:rsid w:val="001C3B6C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652D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2D05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10FB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0459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D7C66"/>
    <w:rsid w:val="002E304A"/>
    <w:rsid w:val="002F20B3"/>
    <w:rsid w:val="002F23B3"/>
    <w:rsid w:val="002F5E74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6F6"/>
    <w:rsid w:val="004179BA"/>
    <w:rsid w:val="00420678"/>
    <w:rsid w:val="00420FC6"/>
    <w:rsid w:val="00421B6D"/>
    <w:rsid w:val="0042312B"/>
    <w:rsid w:val="004239F5"/>
    <w:rsid w:val="00423B24"/>
    <w:rsid w:val="0042684A"/>
    <w:rsid w:val="00426C1D"/>
    <w:rsid w:val="004276AD"/>
    <w:rsid w:val="00433828"/>
    <w:rsid w:val="004357F5"/>
    <w:rsid w:val="0044153F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74A6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1708A"/>
    <w:rsid w:val="00621401"/>
    <w:rsid w:val="00621883"/>
    <w:rsid w:val="00621FDE"/>
    <w:rsid w:val="006242C8"/>
    <w:rsid w:val="0062594A"/>
    <w:rsid w:val="00625BD6"/>
    <w:rsid w:val="00626BA9"/>
    <w:rsid w:val="00626DF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67DB8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2C9F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69C1"/>
    <w:rsid w:val="007A7057"/>
    <w:rsid w:val="007A7703"/>
    <w:rsid w:val="007A7CD9"/>
    <w:rsid w:val="007B0509"/>
    <w:rsid w:val="007B0694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2A0A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1B53"/>
    <w:rsid w:val="00934215"/>
    <w:rsid w:val="00934D1A"/>
    <w:rsid w:val="009357D3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3AD1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4078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0279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1DBC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4A7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8B7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13A"/>
    <w:rsid w:val="00D152C5"/>
    <w:rsid w:val="00D154FA"/>
    <w:rsid w:val="00D16842"/>
    <w:rsid w:val="00D16FBB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9C4"/>
    <w:rsid w:val="00D96CA5"/>
    <w:rsid w:val="00D973DA"/>
    <w:rsid w:val="00DA3491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189C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1465B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6386A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4AD8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47358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5866"/>
    <w:rsid w:val="00F76C99"/>
    <w:rsid w:val="00F7711B"/>
    <w:rsid w:val="00F81281"/>
    <w:rsid w:val="00F8155B"/>
    <w:rsid w:val="00F82ECA"/>
    <w:rsid w:val="00F839A7"/>
    <w:rsid w:val="00F83B9F"/>
    <w:rsid w:val="00F84994"/>
    <w:rsid w:val="00F85954"/>
    <w:rsid w:val="00F85F6E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1E530AD"/>
    <w:rsid w:val="0583436F"/>
    <w:rsid w:val="059B4AF2"/>
    <w:rsid w:val="0D5034C9"/>
    <w:rsid w:val="1844F120"/>
    <w:rsid w:val="1B24C27E"/>
    <w:rsid w:val="1B50907B"/>
    <w:rsid w:val="1FFBFE88"/>
    <w:rsid w:val="2C39DDB2"/>
    <w:rsid w:val="2CC8C2C3"/>
    <w:rsid w:val="2DD55701"/>
    <w:rsid w:val="3590CD52"/>
    <w:rsid w:val="35C7979B"/>
    <w:rsid w:val="3823F2CD"/>
    <w:rsid w:val="3887A508"/>
    <w:rsid w:val="39C779A5"/>
    <w:rsid w:val="453F78EA"/>
    <w:rsid w:val="46218364"/>
    <w:rsid w:val="49AEA1A3"/>
    <w:rsid w:val="4D41A716"/>
    <w:rsid w:val="50A2298F"/>
    <w:rsid w:val="58866055"/>
    <w:rsid w:val="58F63EB7"/>
    <w:rsid w:val="59C08627"/>
    <w:rsid w:val="5C390496"/>
    <w:rsid w:val="5CAED638"/>
    <w:rsid w:val="5CCD2806"/>
    <w:rsid w:val="5DE51DBD"/>
    <w:rsid w:val="6304EF5F"/>
    <w:rsid w:val="64A0BFC0"/>
    <w:rsid w:val="66E30E6E"/>
    <w:rsid w:val="7232F9CC"/>
    <w:rsid w:val="7D14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831A2D"/>
  <w15:docId w15:val="{7E9689D9-03DC-4DA1-989E-4E3CFB65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2F5E74"/>
    <w:pPr>
      <w:numPr>
        <w:numId w:val="32"/>
      </w:numPr>
      <w:ind w:left="72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2F5E74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77951-AD60-4F75-ACB3-AC196720D4F6}"/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http://schemas.microsoft.com/office/2006/documentManagement/types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>Office of Antiterrorism Assistance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15: Noncoercive Interrogation</dc:title>
  <dc:subject>Interdicting Terrorist Activities</dc:subject>
  <dc:creator>Czigan, Terry E</dc:creator>
  <cp:lastModifiedBy>Blackwell, Charita D</cp:lastModifiedBy>
  <cp:revision>16</cp:revision>
  <cp:lastPrinted>2012-04-27T18:10:00Z</cp:lastPrinted>
  <dcterms:created xsi:type="dcterms:W3CDTF">2021-12-30T16:21:00Z</dcterms:created>
  <dcterms:modified xsi:type="dcterms:W3CDTF">2023-03-25T00:55:00Z</dcterms:modified>
  <cp:category>Workbook 15.5: Handling Denials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2022-11-03T14:22:57Z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33d35e64-6a58-4f9f-910f-59ccd73ef3c0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