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6513" w14:textId="60573431" w:rsidR="00EE7DFC" w:rsidRPr="00644D00" w:rsidRDefault="004017CD" w:rsidP="32361FA6">
      <w:pPr>
        <w:pStyle w:val="ATAModuleTitle"/>
        <w:ind w:firstLine="720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D458FC" wp14:editId="2A61BBB2">
            <wp:simplePos x="0" y="0"/>
            <wp:positionH relativeFrom="column">
              <wp:posOffset>5686425</wp:posOffset>
            </wp:positionH>
            <wp:positionV relativeFrom="paragraph">
              <wp:posOffset>57150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14.1 : Section 1 : Outil p</w:t>
      </w:r>
      <w:r w:rsidR="009931CD">
        <w:rPr>
          <w:color w:val="FFFFFF" w:themeColor="background1"/>
        </w:rPr>
        <w:t>É</w:t>
      </w:r>
      <w:r>
        <w:rPr>
          <w:color w:val="FFFFFF" w:themeColor="background1"/>
        </w:rPr>
        <w:t xml:space="preserve">dagogique relatif </w:t>
      </w:r>
      <w:r w:rsidR="009931CD">
        <w:rPr>
          <w:color w:val="FFFFFF" w:themeColor="background1"/>
        </w:rPr>
        <w:br/>
        <w:t>À</w:t>
      </w:r>
      <w:r>
        <w:rPr>
          <w:color w:val="FFFFFF" w:themeColor="background1"/>
        </w:rPr>
        <w:t xml:space="preserve"> l’anxi</w:t>
      </w:r>
      <w:r w:rsidR="009931CD">
        <w:rPr>
          <w:color w:val="FFFFFF" w:themeColor="background1"/>
        </w:rPr>
        <w:t>É</w:t>
      </w:r>
      <w:r>
        <w:rPr>
          <w:color w:val="FFFFFF" w:themeColor="background1"/>
        </w:rPr>
        <w:t>té int</w:t>
      </w:r>
      <w:r w:rsidR="009931CD">
        <w:rPr>
          <w:color w:val="FFFFFF" w:themeColor="background1"/>
        </w:rPr>
        <w:t>É</w:t>
      </w:r>
      <w:r>
        <w:rPr>
          <w:color w:val="FFFFFF" w:themeColor="background1"/>
        </w:rPr>
        <w:t>rieure d'un suspect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E10394" w14:paraId="6BF4EFBD" w14:textId="77777777" w:rsidTr="00301ACA">
        <w:trPr>
          <w:cantSplit/>
        </w:trPr>
        <w:tc>
          <w:tcPr>
            <w:tcW w:w="1500" w:type="pct"/>
            <w:hideMark/>
          </w:tcPr>
          <w:p w14:paraId="34FFD06C" w14:textId="77777777" w:rsidR="00E10394" w:rsidRDefault="00E10394" w:rsidP="00301ACA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  <w:hideMark/>
          </w:tcPr>
          <w:p w14:paraId="54EB8FB5" w14:textId="77777777" w:rsidR="00E10394" w:rsidRDefault="00E10394" w:rsidP="00301ACA">
            <w:pPr>
              <w:pStyle w:val="ATABody"/>
            </w:pPr>
            <w:r>
              <w:t>Partager des stratégies visant à augmenter l’anxiété intérieure d’un suspect et des stratégies permettant d’éviter de la diminuer.</w:t>
            </w:r>
          </w:p>
        </w:tc>
      </w:tr>
      <w:tr w:rsidR="00E10394" w14:paraId="7699C315" w14:textId="77777777" w:rsidTr="00301ACA">
        <w:trPr>
          <w:cantSplit/>
        </w:trPr>
        <w:tc>
          <w:tcPr>
            <w:tcW w:w="1500" w:type="pct"/>
            <w:hideMark/>
          </w:tcPr>
          <w:p w14:paraId="2E9E0F76" w14:textId="77777777" w:rsidR="00E10394" w:rsidRDefault="00E10394" w:rsidP="00301ACA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  <w:hideMark/>
          </w:tcPr>
          <w:p w14:paraId="00C3E7A1" w14:textId="77777777" w:rsidR="00E10394" w:rsidRPr="00827274" w:rsidRDefault="00E10394" w:rsidP="00301ACA">
            <w:pPr>
              <w:pStyle w:val="ATABody"/>
            </w:pPr>
            <w:r>
              <w:t>20 minutes (15 min pour l’activité et 5 min de débriefing)</w:t>
            </w:r>
          </w:p>
        </w:tc>
      </w:tr>
      <w:tr w:rsidR="00E10394" w14:paraId="7516B587" w14:textId="77777777" w:rsidTr="00301ACA">
        <w:trPr>
          <w:cantSplit/>
        </w:trPr>
        <w:tc>
          <w:tcPr>
            <w:tcW w:w="1500" w:type="pct"/>
            <w:hideMark/>
          </w:tcPr>
          <w:p w14:paraId="03DDF44B" w14:textId="77777777" w:rsidR="00E10394" w:rsidRDefault="00E10394" w:rsidP="00301ACA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  <w:hideMark/>
          </w:tcPr>
          <w:p w14:paraId="74F1A368" w14:textId="77777777" w:rsidR="00E10394" w:rsidRDefault="00E10394" w:rsidP="00301ACA">
            <w:pPr>
              <w:pStyle w:val="ATABody"/>
            </w:pPr>
            <w:r>
              <w:t>Petits groupes</w:t>
            </w:r>
          </w:p>
        </w:tc>
      </w:tr>
      <w:tr w:rsidR="00E10394" w14:paraId="07B9C0B7" w14:textId="77777777" w:rsidTr="00301ACA">
        <w:trPr>
          <w:cantSplit/>
          <w:trHeight w:val="342"/>
        </w:trPr>
        <w:tc>
          <w:tcPr>
            <w:tcW w:w="1500" w:type="pct"/>
            <w:hideMark/>
          </w:tcPr>
          <w:p w14:paraId="033EF9DA" w14:textId="77777777" w:rsidR="00E10394" w:rsidRDefault="00E10394" w:rsidP="00301ACA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  <w:hideMark/>
          </w:tcPr>
          <w:p w14:paraId="2203D2C6" w14:textId="77777777" w:rsidR="00E10394" w:rsidRDefault="00E10394" w:rsidP="00301ACA">
            <w:pPr>
              <w:pStyle w:val="ATABody"/>
            </w:pPr>
            <w:r>
              <w:t>Discussion avec l'ensemble du groupe et retour des instructeurs</w:t>
            </w:r>
          </w:p>
        </w:tc>
      </w:tr>
      <w:tr w:rsidR="00E10394" w14:paraId="4A053633" w14:textId="77777777" w:rsidTr="00301ACA">
        <w:trPr>
          <w:cantSplit/>
          <w:trHeight w:val="342"/>
        </w:trPr>
        <w:tc>
          <w:tcPr>
            <w:tcW w:w="1500" w:type="pct"/>
          </w:tcPr>
          <w:p w14:paraId="7C22DB3B" w14:textId="77777777" w:rsidR="00E10394" w:rsidRDefault="00E10394" w:rsidP="00301ACA">
            <w:pPr>
              <w:pStyle w:val="ATABody"/>
              <w:rPr>
                <w:b/>
              </w:rPr>
            </w:pPr>
            <w:r>
              <w:rPr>
                <w:b/>
              </w:rPr>
              <w:t>Matériel :</w:t>
            </w:r>
          </w:p>
        </w:tc>
        <w:tc>
          <w:tcPr>
            <w:tcW w:w="3500" w:type="pct"/>
          </w:tcPr>
          <w:p w14:paraId="604173D2" w14:textId="77777777" w:rsidR="00E10394" w:rsidRDefault="00E10394" w:rsidP="00301ACA">
            <w:pPr>
              <w:pStyle w:val="ATABody"/>
            </w:pPr>
            <w:r>
              <w:t>Tableau-papier</w:t>
            </w:r>
          </w:p>
        </w:tc>
      </w:tr>
    </w:tbl>
    <w:p w14:paraId="44FD267B" w14:textId="77777777" w:rsidR="00E10394" w:rsidRDefault="00E10394" w:rsidP="00E10394">
      <w:pPr>
        <w:pStyle w:val="ATABulletLevel01BodySlide"/>
        <w:numPr>
          <w:ilvl w:val="0"/>
          <w:numId w:val="0"/>
        </w:numPr>
        <w:ind w:left="360" w:hanging="360"/>
      </w:pPr>
    </w:p>
    <w:p w14:paraId="3EBA225D" w14:textId="77777777" w:rsidR="00E10394" w:rsidRDefault="00E10394" w:rsidP="00E10394">
      <w:pPr>
        <w:pStyle w:val="ATABulletLevel01BodySlide"/>
        <w:numPr>
          <w:ilvl w:val="0"/>
          <w:numId w:val="0"/>
        </w:numPr>
        <w:ind w:left="360" w:hanging="360"/>
      </w:pPr>
      <w:r>
        <w:rPr>
          <w:b/>
        </w:rPr>
        <w:t>Consignes :</w:t>
      </w:r>
    </w:p>
    <w:p w14:paraId="05C50FEC" w14:textId="77777777" w:rsidR="00E10394" w:rsidRDefault="00E10394" w:rsidP="00E10394">
      <w:pPr>
        <w:pStyle w:val="ATABulletLevel01BodySlide"/>
        <w:numPr>
          <w:ilvl w:val="0"/>
          <w:numId w:val="33"/>
        </w:numPr>
        <w:ind w:left="360"/>
      </w:pPr>
      <w:r>
        <w:t xml:space="preserve">Expliquez quelles autres stratégies vous et votre équipe avaient utilisées ou que vous recommanderiez d’utiliser pour </w:t>
      </w:r>
      <w:r>
        <w:rPr>
          <w:b/>
        </w:rPr>
        <w:t>augmenter</w:t>
      </w:r>
      <w:r>
        <w:t xml:space="preserve"> l'anxiété intérieure d’un suspect.</w:t>
      </w:r>
    </w:p>
    <w:p w14:paraId="740084CF" w14:textId="77777777" w:rsidR="00E10394" w:rsidRDefault="00E10394" w:rsidP="00E10394">
      <w:pPr>
        <w:pStyle w:val="ATABulletLevel01BodySlide"/>
        <w:numPr>
          <w:ilvl w:val="0"/>
          <w:numId w:val="0"/>
        </w:numPr>
        <w:ind w:hanging="360"/>
      </w:pPr>
    </w:p>
    <w:p w14:paraId="52F3DC41" w14:textId="77777777" w:rsidR="00E10394" w:rsidRDefault="00E10394" w:rsidP="00E10394">
      <w:pPr>
        <w:pStyle w:val="ATABulletLevel01BodySlide"/>
        <w:numPr>
          <w:ilvl w:val="0"/>
          <w:numId w:val="33"/>
        </w:numPr>
        <w:ind w:left="360"/>
      </w:pPr>
      <w:r>
        <w:t xml:space="preserve">Décrivez les autres stratégies que vous et votre équipe avaient utilisées ou que vous recommanderiez d’utiliser pour </w:t>
      </w:r>
      <w:r>
        <w:rPr>
          <w:b/>
        </w:rPr>
        <w:t>éviter de diminuer</w:t>
      </w:r>
      <w:r>
        <w:t xml:space="preserve"> l'anxiété intérieure d’un suspect.</w:t>
      </w:r>
    </w:p>
    <w:p w14:paraId="7055888B" w14:textId="77777777" w:rsidR="00E10394" w:rsidRDefault="00E10394" w:rsidP="00E10394">
      <w:pPr>
        <w:pStyle w:val="ListParagraph"/>
      </w:pPr>
    </w:p>
    <w:p w14:paraId="1C644205" w14:textId="77777777" w:rsidR="00E10394" w:rsidRDefault="00E10394" w:rsidP="00E10394">
      <w:pPr>
        <w:pStyle w:val="ATABulletLevel01BodySlide"/>
        <w:numPr>
          <w:ilvl w:val="0"/>
          <w:numId w:val="33"/>
        </w:numPr>
        <w:ind w:left="360"/>
      </w:pPr>
      <w:r>
        <w:t>Récapitulez votre discussion sur une feuille du tableau-papier.</w:t>
      </w:r>
    </w:p>
    <w:p w14:paraId="4D4587AB" w14:textId="77777777" w:rsidR="00E10394" w:rsidRDefault="00E10394" w:rsidP="00E10394">
      <w:pPr>
        <w:pStyle w:val="ATABulletLevel01BodySlide"/>
        <w:numPr>
          <w:ilvl w:val="0"/>
          <w:numId w:val="0"/>
        </w:numPr>
        <w:ind w:hanging="360"/>
      </w:pPr>
    </w:p>
    <w:p w14:paraId="7F727A64" w14:textId="77777777" w:rsidR="00E10394" w:rsidRDefault="00E10394" w:rsidP="00E10394">
      <w:pPr>
        <w:pStyle w:val="ATABulletLevel01BodySlide"/>
        <w:numPr>
          <w:ilvl w:val="0"/>
          <w:numId w:val="33"/>
        </w:numPr>
        <w:ind w:left="360"/>
      </w:pPr>
      <w:r>
        <w:t>Vous disposez de 15 minutes pour mener cette activité.</w:t>
      </w:r>
    </w:p>
    <w:p w14:paraId="65CE5546" w14:textId="77777777" w:rsidR="00E10394" w:rsidRDefault="00E10394" w:rsidP="00E10394">
      <w:pPr>
        <w:pStyle w:val="ATABulletLevel01BodySlide"/>
        <w:numPr>
          <w:ilvl w:val="0"/>
          <w:numId w:val="0"/>
        </w:numPr>
        <w:ind w:hanging="360"/>
      </w:pPr>
    </w:p>
    <w:p w14:paraId="37AA3D84" w14:textId="77777777" w:rsidR="00E10394" w:rsidRDefault="00E10394" w:rsidP="00E10394">
      <w:pPr>
        <w:pStyle w:val="ATABulletLevel01BodySlide"/>
        <w:numPr>
          <w:ilvl w:val="0"/>
          <w:numId w:val="33"/>
        </w:numPr>
        <w:ind w:left="360"/>
      </w:pPr>
      <w:r>
        <w:t xml:space="preserve">Sélectionnez un porte-parole qui présentera vos stratégies au reste de la classe.  </w:t>
      </w:r>
    </w:p>
    <w:p w14:paraId="7CDCE4E8" w14:textId="05D62DE6" w:rsidR="00315F62" w:rsidRDefault="00315F62" w:rsidP="005908DF">
      <w:pPr>
        <w:pStyle w:val="ATABody"/>
      </w:pPr>
    </w:p>
    <w:p w14:paraId="04AB90EC" w14:textId="77777777" w:rsidR="00E10394" w:rsidRDefault="00E10394" w:rsidP="005908DF">
      <w:pPr>
        <w:pStyle w:val="AT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5529"/>
        <w:gridCol w:w="2112"/>
      </w:tblGrid>
      <w:tr w:rsidR="006D2B58" w14:paraId="45861F89" w14:textId="121C16BD" w:rsidTr="00315F62">
        <w:tc>
          <w:tcPr>
            <w:tcW w:w="7238" w:type="dxa"/>
            <w:gridSpan w:val="2"/>
            <w:shd w:val="clear" w:color="auto" w:fill="D9D9D9" w:themeFill="background1" w:themeFillShade="D9"/>
            <w:vAlign w:val="center"/>
          </w:tcPr>
          <w:p w14:paraId="6DADF468" w14:textId="3A16FB8D" w:rsidR="006D2B58" w:rsidRPr="004B7A14" w:rsidRDefault="006D2B58" w:rsidP="009C6053">
            <w:pPr>
              <w:pStyle w:val="ATABody"/>
              <w:spacing w:before="120" w:after="120"/>
              <w:rPr>
                <w:b/>
              </w:rPr>
            </w:pPr>
            <w:r>
              <w:rPr>
                <w:b/>
              </w:rPr>
              <w:t>Comment augmenter l'anxiété intérieure d’un suspect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14:paraId="5AA1131F" w14:textId="23C5C4E0" w:rsidR="006D2B58" w:rsidRDefault="006D2B58" w:rsidP="009C6053">
            <w:pPr>
              <w:pStyle w:val="ATABody"/>
              <w:spacing w:before="120" w:after="120"/>
              <w:rPr>
                <w:b/>
              </w:rPr>
            </w:pPr>
            <w:r>
              <w:rPr>
                <w:b/>
              </w:rPr>
              <w:t>S’utilise pendant...</w:t>
            </w:r>
          </w:p>
        </w:tc>
      </w:tr>
      <w:tr w:rsidR="006D2B58" w14:paraId="1D92A5F3" w14:textId="070550EA" w:rsidTr="00315F62">
        <w:tc>
          <w:tcPr>
            <w:tcW w:w="1709" w:type="dxa"/>
          </w:tcPr>
          <w:p w14:paraId="457497DF" w14:textId="00BE68C4" w:rsidR="006D2B58" w:rsidRDefault="006D2B58" w:rsidP="006D2B58">
            <w:pPr>
              <w:pStyle w:val="ATABody"/>
              <w:spacing w:before="120" w:after="120"/>
            </w:pPr>
            <w:r>
              <w:t>Supprimer les barrières physiques</w:t>
            </w:r>
          </w:p>
        </w:tc>
        <w:tc>
          <w:tcPr>
            <w:tcW w:w="5529" w:type="dxa"/>
          </w:tcPr>
          <w:p w14:paraId="6DD3194A" w14:textId="77777777" w:rsidR="006D2B58" w:rsidRDefault="006D2B58" w:rsidP="009C6053">
            <w:pPr>
              <w:pStyle w:val="ATABulletLevel01BodySlide"/>
              <w:spacing w:before="120" w:after="120"/>
            </w:pPr>
            <w:r>
              <w:t>Ne laisser aucune barrière physique (comme un bureau ou une table) entre l’interrogateur et le suspect.</w:t>
            </w:r>
          </w:p>
          <w:p w14:paraId="24F31C55" w14:textId="023FC533" w:rsidR="006D2B58" w:rsidRDefault="006D2B58" w:rsidP="009C6053">
            <w:pPr>
              <w:pStyle w:val="ATABulletLevel01BodySlide"/>
              <w:spacing w:before="120" w:after="120"/>
            </w:pPr>
            <w:r>
              <w:t>Ces barrières apportent au suspect une protection psychologique par rapport à ses mensonges, ce qui le rend plus confiant et plus ancré dans ses dénégations.</w:t>
            </w:r>
          </w:p>
        </w:tc>
        <w:tc>
          <w:tcPr>
            <w:tcW w:w="2112" w:type="dxa"/>
          </w:tcPr>
          <w:p w14:paraId="74D44D40" w14:textId="77777777" w:rsidR="006D2B58" w:rsidRDefault="006D2B58" w:rsidP="009C6053">
            <w:pPr>
              <w:pStyle w:val="ATABulletLevel01BodySlide"/>
              <w:spacing w:before="120" w:after="120"/>
            </w:pPr>
            <w:r>
              <w:t>Entretien d’un suspect</w:t>
            </w:r>
          </w:p>
          <w:p w14:paraId="71FDE5F0" w14:textId="0392DEB1" w:rsidR="006D2B58" w:rsidRDefault="006D2B58" w:rsidP="00D7164C">
            <w:pPr>
              <w:pStyle w:val="ATABulletLevel01BodySlide"/>
            </w:pPr>
            <w:r>
              <w:t>Interrogatoire non coercitif</w:t>
            </w:r>
          </w:p>
        </w:tc>
      </w:tr>
      <w:tr w:rsidR="006D2B58" w14:paraId="3D5A7B55" w14:textId="50CF2123" w:rsidTr="00315F62">
        <w:tc>
          <w:tcPr>
            <w:tcW w:w="1709" w:type="dxa"/>
          </w:tcPr>
          <w:p w14:paraId="1DF5102E" w14:textId="0FA484B1" w:rsidR="006D2B58" w:rsidRDefault="006D2B58" w:rsidP="006D2B58">
            <w:pPr>
              <w:pStyle w:val="ATABody"/>
              <w:spacing w:before="120" w:after="120"/>
            </w:pPr>
            <w:r>
              <w:t>Faire référence au dossier d’enquête</w:t>
            </w:r>
          </w:p>
        </w:tc>
        <w:tc>
          <w:tcPr>
            <w:tcW w:w="5529" w:type="dxa"/>
          </w:tcPr>
          <w:p w14:paraId="5A13C571" w14:textId="77777777" w:rsidR="006D2B58" w:rsidRDefault="006D2B58" w:rsidP="009C6053">
            <w:pPr>
              <w:pStyle w:val="ATABulletLevel01BodySlide"/>
              <w:spacing w:before="120" w:after="120"/>
            </w:pPr>
            <w:r>
              <w:t>Tenir et montrer du doigt le dossier pendant qu’on accuse le suspect.</w:t>
            </w:r>
          </w:p>
          <w:p w14:paraId="5D7A7154" w14:textId="59BE3501" w:rsidR="006D2B58" w:rsidRDefault="006D2B58" w:rsidP="009C6053">
            <w:pPr>
              <w:pStyle w:val="ATABulletLevel01BodySlide"/>
              <w:spacing w:before="120" w:after="120"/>
            </w:pPr>
            <w:r>
              <w:t>Dans l'esprit du suspect, le dossier incarne l'enquête. Plus il pensera que l'enquête a mis en évidence sa culpabilité, plus il craindra d'être pris dans un mensonge.</w:t>
            </w:r>
          </w:p>
        </w:tc>
        <w:tc>
          <w:tcPr>
            <w:tcW w:w="2112" w:type="dxa"/>
          </w:tcPr>
          <w:p w14:paraId="35371ACD" w14:textId="4B5F4E1F" w:rsidR="006D2B58" w:rsidRDefault="006D2B58" w:rsidP="009C6053">
            <w:pPr>
              <w:pStyle w:val="ATABulletLevel01BodySlide"/>
              <w:spacing w:before="120" w:after="120"/>
            </w:pPr>
            <w:r>
              <w:t>Interrogatoire non coercitif</w:t>
            </w:r>
          </w:p>
        </w:tc>
      </w:tr>
      <w:tr w:rsidR="006D2B58" w14:paraId="77D550E6" w14:textId="3BFF8591" w:rsidTr="00315F62">
        <w:tc>
          <w:tcPr>
            <w:tcW w:w="1709" w:type="dxa"/>
          </w:tcPr>
          <w:p w14:paraId="533A4139" w14:textId="096A80AD" w:rsidR="006D2B58" w:rsidRDefault="006D2B58" w:rsidP="009C6053">
            <w:pPr>
              <w:pStyle w:val="ATABody"/>
              <w:spacing w:before="120" w:after="120"/>
            </w:pPr>
            <w:r>
              <w:lastRenderedPageBreak/>
              <w:t>Regarder plus longuement la personne dans les yeux</w:t>
            </w:r>
          </w:p>
        </w:tc>
        <w:tc>
          <w:tcPr>
            <w:tcW w:w="5529" w:type="dxa"/>
          </w:tcPr>
          <w:p w14:paraId="149E7FB2" w14:textId="06243B71" w:rsidR="006D2B58" w:rsidRDefault="006D2B58" w:rsidP="009C6053">
            <w:pPr>
              <w:pStyle w:val="ATABulletLevel01BodySlide"/>
              <w:spacing w:before="120" w:after="120"/>
            </w:pPr>
            <w:r>
              <w:t>Regarder un peu plus longuement le suspect dans les yeux que d’ordinaire, mais éviter de le fixer.</w:t>
            </w:r>
          </w:p>
          <w:p w14:paraId="7CE4FD46" w14:textId="31BF8956" w:rsidR="006D2B58" w:rsidRDefault="006D2B58" w:rsidP="009C6053">
            <w:pPr>
              <w:pStyle w:val="ATABulletLevel01BodySlide"/>
              <w:spacing w:before="120" w:after="120"/>
            </w:pPr>
            <w:r>
              <w:t>Plus le suspect coupable pense que l’interrogateur cherche à déceler des signes de tromperie dans son comportement, plus il craindra d'être pris dans un mensonge.</w:t>
            </w:r>
          </w:p>
        </w:tc>
        <w:tc>
          <w:tcPr>
            <w:tcW w:w="2112" w:type="dxa"/>
          </w:tcPr>
          <w:p w14:paraId="037DD6D6" w14:textId="77777777" w:rsidR="006D2B58" w:rsidRDefault="006D2B58" w:rsidP="006D2B58">
            <w:pPr>
              <w:pStyle w:val="ATABulletLevel01BodySlide"/>
              <w:spacing w:before="120" w:after="120"/>
            </w:pPr>
            <w:r>
              <w:t>Entretien d’un suspect</w:t>
            </w:r>
          </w:p>
          <w:p w14:paraId="54B3ED75" w14:textId="0DA77416" w:rsidR="006D2B58" w:rsidRDefault="006D2B58" w:rsidP="00D7164C">
            <w:pPr>
              <w:pStyle w:val="ATABulletLevel01BodySlide"/>
            </w:pPr>
            <w:r>
              <w:t>Interrogatoire non coercitif</w:t>
            </w:r>
          </w:p>
        </w:tc>
      </w:tr>
      <w:tr w:rsidR="006D2B58" w14:paraId="0B4CF3A7" w14:textId="42650CAC" w:rsidTr="00315F62">
        <w:tc>
          <w:tcPr>
            <w:tcW w:w="1709" w:type="dxa"/>
          </w:tcPr>
          <w:p w14:paraId="46176850" w14:textId="3AB9870C" w:rsidR="006D2B58" w:rsidRDefault="006D2B58" w:rsidP="009C6053">
            <w:pPr>
              <w:pStyle w:val="ATABody"/>
              <w:spacing w:before="120" w:after="120"/>
            </w:pPr>
            <w:r>
              <w:t xml:space="preserve">Modifier sa proximité </w:t>
            </w:r>
          </w:p>
        </w:tc>
        <w:tc>
          <w:tcPr>
            <w:tcW w:w="5529" w:type="dxa"/>
          </w:tcPr>
          <w:p w14:paraId="5EFFC97E" w14:textId="77777777" w:rsidR="006D2B58" w:rsidRDefault="006D2B58" w:rsidP="009C6053">
            <w:pPr>
              <w:pStyle w:val="ATABulletLevel01BodySlide"/>
              <w:spacing w:before="120" w:after="120"/>
            </w:pPr>
            <w:r>
              <w:t>Se rapprocher du suspect lorsque celui-ci commence à se soumettre et cesse de nier son implication.</w:t>
            </w:r>
          </w:p>
          <w:p w14:paraId="0B09A007" w14:textId="15C8BD9C" w:rsidR="006D2B58" w:rsidRDefault="006D2B58" w:rsidP="009C6053">
            <w:pPr>
              <w:pStyle w:val="ATABulletLevel01BodySlide"/>
              <w:spacing w:before="120" w:after="120"/>
            </w:pPr>
            <w:r>
              <w:t>Ce discret changement de proximité peut augmenter l'anxiété intérieure du suspect par rapport à ses mensonges.</w:t>
            </w:r>
          </w:p>
        </w:tc>
        <w:tc>
          <w:tcPr>
            <w:tcW w:w="2112" w:type="dxa"/>
          </w:tcPr>
          <w:p w14:paraId="39A3F894" w14:textId="50AC7A63" w:rsidR="006D2B58" w:rsidRDefault="006D2B58" w:rsidP="006D2B58">
            <w:pPr>
              <w:pStyle w:val="ATABulletLevel01BodySlide"/>
              <w:spacing w:before="120" w:after="120"/>
            </w:pPr>
            <w:r>
              <w:t>Interrogatoire non coercitif</w:t>
            </w:r>
          </w:p>
        </w:tc>
      </w:tr>
      <w:tr w:rsidR="006D2B58" w14:paraId="234A60C8" w14:textId="4B035715" w:rsidTr="00315F62">
        <w:tc>
          <w:tcPr>
            <w:tcW w:w="1709" w:type="dxa"/>
          </w:tcPr>
          <w:p w14:paraId="1FD3E00C" w14:textId="5F9F6564" w:rsidR="006D2B58" w:rsidRDefault="006D2B58" w:rsidP="009C6053">
            <w:pPr>
              <w:pStyle w:val="ATABody"/>
              <w:spacing w:before="120" w:after="120"/>
            </w:pPr>
            <w:r>
              <w:t>Établir une entente</w:t>
            </w:r>
          </w:p>
        </w:tc>
        <w:tc>
          <w:tcPr>
            <w:tcW w:w="5529" w:type="dxa"/>
          </w:tcPr>
          <w:p w14:paraId="1E46F5A4" w14:textId="1EF3B019" w:rsidR="006D2B58" w:rsidRDefault="006D2B58" w:rsidP="009C6053">
            <w:pPr>
              <w:pStyle w:val="ATABulletLevel01BodySlide"/>
              <w:spacing w:before="120" w:after="120"/>
            </w:pPr>
            <w:r>
              <w:t>Plus l'entente sera bonne entre un suspect coupable et son interrogateur, plus le suspect ressentira de culpabilité lorsqu’il mentira à l’interrogateur.</w:t>
            </w:r>
          </w:p>
        </w:tc>
        <w:tc>
          <w:tcPr>
            <w:tcW w:w="2112" w:type="dxa"/>
          </w:tcPr>
          <w:p w14:paraId="03E00F25" w14:textId="77777777" w:rsidR="006D2B58" w:rsidRDefault="006D2B58" w:rsidP="006D2B58">
            <w:pPr>
              <w:pStyle w:val="ATABulletLevel01BodySlide"/>
              <w:spacing w:before="120" w:after="120"/>
            </w:pPr>
            <w:r>
              <w:t>Entretien d’un suspect</w:t>
            </w:r>
          </w:p>
          <w:p w14:paraId="5A30A303" w14:textId="7B8B8612" w:rsidR="006D2B58" w:rsidRDefault="006D2B58" w:rsidP="00D7164C">
            <w:pPr>
              <w:pStyle w:val="ATABulletLevel01BodySlide"/>
            </w:pPr>
            <w:r>
              <w:t xml:space="preserve">Interrogatoire non </w:t>
            </w:r>
            <w:proofErr w:type="spellStart"/>
            <w:r>
              <w:t>coerctif</w:t>
            </w:r>
            <w:proofErr w:type="spellEnd"/>
          </w:p>
        </w:tc>
      </w:tr>
      <w:tr w:rsidR="006D2B58" w14:paraId="4D71C313" w14:textId="162B8A9A" w:rsidTr="00315F62">
        <w:tc>
          <w:tcPr>
            <w:tcW w:w="7238" w:type="dxa"/>
            <w:gridSpan w:val="2"/>
            <w:shd w:val="clear" w:color="auto" w:fill="D9D9D9" w:themeFill="background1" w:themeFillShade="D9"/>
            <w:vAlign w:val="center"/>
          </w:tcPr>
          <w:p w14:paraId="1F71024B" w14:textId="0CBEE550" w:rsidR="006D2B58" w:rsidRPr="004B7A14" w:rsidRDefault="006D2B58" w:rsidP="009C6053">
            <w:pPr>
              <w:pStyle w:val="ATABody"/>
              <w:spacing w:before="120" w:after="120"/>
              <w:rPr>
                <w:b/>
              </w:rPr>
            </w:pPr>
            <w:r>
              <w:rPr>
                <w:b/>
              </w:rPr>
              <w:t>Éviter tout ce qui peut diminuer l'anxiété intérieure d’un suspect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14:paraId="1F70EBAC" w14:textId="4E4B1855" w:rsidR="006D2B58" w:rsidRDefault="006D2B58" w:rsidP="009C6053">
            <w:pPr>
              <w:pStyle w:val="ATABody"/>
              <w:spacing w:before="120" w:after="120"/>
              <w:rPr>
                <w:b/>
              </w:rPr>
            </w:pPr>
            <w:r>
              <w:rPr>
                <w:b/>
              </w:rPr>
              <w:t>S’utilise pendant...</w:t>
            </w:r>
          </w:p>
        </w:tc>
      </w:tr>
      <w:tr w:rsidR="006D2B58" w14:paraId="0BA289A9" w14:textId="00B390CC" w:rsidTr="00315F62">
        <w:tc>
          <w:tcPr>
            <w:tcW w:w="1709" w:type="dxa"/>
          </w:tcPr>
          <w:p w14:paraId="205582DA" w14:textId="50D0B94B" w:rsidR="006D2B58" w:rsidRDefault="006D2B58" w:rsidP="009C6053">
            <w:pPr>
              <w:pStyle w:val="ATABody"/>
              <w:spacing w:before="120" w:after="120"/>
            </w:pPr>
            <w:r>
              <w:t>Autoriser le suspect à fumer</w:t>
            </w:r>
          </w:p>
        </w:tc>
        <w:tc>
          <w:tcPr>
            <w:tcW w:w="5529" w:type="dxa"/>
          </w:tcPr>
          <w:p w14:paraId="1D40A968" w14:textId="77777777" w:rsidR="006D2B58" w:rsidRDefault="006D2B58" w:rsidP="009C6053">
            <w:pPr>
              <w:pStyle w:val="ATABulletLevel01BodySlide"/>
              <w:spacing w:before="120" w:after="120"/>
            </w:pPr>
            <w:r>
              <w:t>Ne pas laisser le suspect fumer pendant l'entretien.</w:t>
            </w:r>
          </w:p>
          <w:p w14:paraId="3922EB1D" w14:textId="01BC5AAA" w:rsidR="006D2B58" w:rsidRDefault="006D2B58" w:rsidP="009C6053">
            <w:pPr>
              <w:pStyle w:val="ATABulletLevel01BodySlide"/>
              <w:spacing w:before="120" w:after="120"/>
            </w:pPr>
            <w:r>
              <w:t>Cela pourrait diminuer son niveau d'anxiété.</w:t>
            </w:r>
          </w:p>
        </w:tc>
        <w:tc>
          <w:tcPr>
            <w:tcW w:w="2112" w:type="dxa"/>
          </w:tcPr>
          <w:p w14:paraId="797E9FF0" w14:textId="77777777" w:rsidR="006D2B58" w:rsidRDefault="006D2B58" w:rsidP="006D2B58">
            <w:pPr>
              <w:pStyle w:val="ATABulletLevel01BodySlide"/>
              <w:spacing w:before="120" w:after="120"/>
            </w:pPr>
            <w:r>
              <w:t>Entretien d’un suspect</w:t>
            </w:r>
          </w:p>
          <w:p w14:paraId="03C690F2" w14:textId="09CAA916" w:rsidR="006D2B58" w:rsidRDefault="006D2B58" w:rsidP="00D7164C">
            <w:pPr>
              <w:pStyle w:val="ATABulletLevel01BodySlide"/>
            </w:pPr>
            <w:r>
              <w:t>Interrogatoire non coercitif</w:t>
            </w:r>
          </w:p>
        </w:tc>
      </w:tr>
      <w:tr w:rsidR="006D2B58" w14:paraId="39D3F724" w14:textId="15CB2712" w:rsidTr="00315F62">
        <w:tc>
          <w:tcPr>
            <w:tcW w:w="1709" w:type="dxa"/>
          </w:tcPr>
          <w:p w14:paraId="7587CEDD" w14:textId="1AD4AC76" w:rsidR="006D2B58" w:rsidRDefault="006D2B58" w:rsidP="009C6053">
            <w:pPr>
              <w:pStyle w:val="ATABody"/>
              <w:spacing w:before="120" w:after="120"/>
            </w:pPr>
            <w:r>
              <w:t>Autoriser les distractions</w:t>
            </w:r>
          </w:p>
        </w:tc>
        <w:tc>
          <w:tcPr>
            <w:tcW w:w="5529" w:type="dxa"/>
          </w:tcPr>
          <w:p w14:paraId="62BF8BFB" w14:textId="77777777" w:rsidR="006D2B58" w:rsidRDefault="006D2B58" w:rsidP="009C6053">
            <w:pPr>
              <w:pStyle w:val="ATABulletLevel01BodySlide"/>
              <w:spacing w:before="120" w:after="120"/>
            </w:pPr>
            <w:r>
              <w:t>Ne pas autoriser de distractions pendant l’entretien.</w:t>
            </w:r>
          </w:p>
          <w:p w14:paraId="1058CD98" w14:textId="4086BC79" w:rsidR="006D2B58" w:rsidRDefault="006D2B58" w:rsidP="009C6053">
            <w:pPr>
              <w:pStyle w:val="ATABulletLevel01BodySlide"/>
              <w:spacing w:before="120" w:after="120"/>
            </w:pPr>
            <w:r>
              <w:t>Plus le suspect pourra se distraire pendant l’entretien, plus cela atténuera son anxiété.</w:t>
            </w:r>
          </w:p>
        </w:tc>
        <w:tc>
          <w:tcPr>
            <w:tcW w:w="2112" w:type="dxa"/>
          </w:tcPr>
          <w:p w14:paraId="31F14A60" w14:textId="77777777" w:rsidR="006D2B58" w:rsidRDefault="006D2B58" w:rsidP="006D2B58">
            <w:pPr>
              <w:pStyle w:val="ATABulletLevel01BodySlide"/>
              <w:spacing w:before="120" w:after="120"/>
            </w:pPr>
            <w:r>
              <w:t>Entretien d’un suspect</w:t>
            </w:r>
          </w:p>
          <w:p w14:paraId="2DA6AD90" w14:textId="12CB4804" w:rsidR="006D2B58" w:rsidRDefault="006D2B58" w:rsidP="00D7164C">
            <w:pPr>
              <w:pStyle w:val="ATABulletLevel01BodySlide"/>
            </w:pPr>
            <w:r>
              <w:t>Interrogatoire non coercitif</w:t>
            </w:r>
          </w:p>
        </w:tc>
      </w:tr>
      <w:tr w:rsidR="006D2B58" w14:paraId="4D9193FE" w14:textId="7A988DEE" w:rsidTr="00315F62">
        <w:tc>
          <w:tcPr>
            <w:tcW w:w="1709" w:type="dxa"/>
          </w:tcPr>
          <w:p w14:paraId="13BCFF64" w14:textId="68ABC9B6" w:rsidR="006D2B58" w:rsidRDefault="006D2B58" w:rsidP="009C6053">
            <w:pPr>
              <w:pStyle w:val="ATABody"/>
              <w:spacing w:before="120" w:after="120"/>
            </w:pPr>
            <w:r>
              <w:t>Mener l’entretien dans un endroit familier pour le suspect</w:t>
            </w:r>
          </w:p>
        </w:tc>
        <w:tc>
          <w:tcPr>
            <w:tcW w:w="5529" w:type="dxa"/>
          </w:tcPr>
          <w:p w14:paraId="223ACC20" w14:textId="10A37EE4" w:rsidR="006D2B58" w:rsidRDefault="006D2B58" w:rsidP="009C6053">
            <w:pPr>
              <w:pStyle w:val="ATABulletLevel01BodySlide"/>
              <w:spacing w:before="120" w:after="120"/>
            </w:pPr>
            <w:r>
              <w:t>Ne pas mener l’entretien dans un endroit familier pour le suspect comme son lieu de résidence ou son lieu de travail.</w:t>
            </w:r>
          </w:p>
          <w:p w14:paraId="59207767" w14:textId="5D576666" w:rsidR="006D2B58" w:rsidRDefault="006D2B58" w:rsidP="009C6053">
            <w:pPr>
              <w:pStyle w:val="ATABulletLevel01BodySlide"/>
              <w:spacing w:before="120" w:after="120"/>
            </w:pPr>
            <w:r>
              <w:t>Le suspect pourrait en tirer un soutien psychologique par rapport à ses mensonges, ce qui diminuerait l'anxiété intérieure que génère le fait de mentir.</w:t>
            </w:r>
          </w:p>
        </w:tc>
        <w:tc>
          <w:tcPr>
            <w:tcW w:w="2112" w:type="dxa"/>
          </w:tcPr>
          <w:p w14:paraId="3C793CF6" w14:textId="77777777" w:rsidR="006D2B58" w:rsidRDefault="006D2B58" w:rsidP="006D2B58">
            <w:pPr>
              <w:pStyle w:val="ATABulletLevel01BodySlide"/>
              <w:spacing w:before="120" w:after="120"/>
            </w:pPr>
            <w:r>
              <w:t>Entretien d’un suspect</w:t>
            </w:r>
          </w:p>
          <w:p w14:paraId="4989D68D" w14:textId="122475DF" w:rsidR="006D2B58" w:rsidRDefault="006D2B58" w:rsidP="00D7164C">
            <w:pPr>
              <w:pStyle w:val="ATABulletLevel01BodySlide"/>
            </w:pPr>
            <w:r>
              <w:t>Interrogatoire non coercitif</w:t>
            </w:r>
          </w:p>
        </w:tc>
      </w:tr>
      <w:tr w:rsidR="006D2B58" w14:paraId="49888212" w14:textId="5BAEAA6F" w:rsidTr="00315F62">
        <w:tc>
          <w:tcPr>
            <w:tcW w:w="1709" w:type="dxa"/>
          </w:tcPr>
          <w:p w14:paraId="64E74E7D" w14:textId="2B76344E" w:rsidR="006D2B58" w:rsidRDefault="006D2B58" w:rsidP="009C6053">
            <w:pPr>
              <w:pStyle w:val="ATABody"/>
              <w:spacing w:before="120" w:after="120"/>
            </w:pPr>
            <w:r>
              <w:t xml:space="preserve">Laisser le suspect nier </w:t>
            </w:r>
          </w:p>
        </w:tc>
        <w:tc>
          <w:tcPr>
            <w:tcW w:w="5529" w:type="dxa"/>
          </w:tcPr>
          <w:p w14:paraId="026458AE" w14:textId="77777777" w:rsidR="006D2B58" w:rsidRDefault="006D2B58" w:rsidP="009C6053">
            <w:pPr>
              <w:pStyle w:val="ATABulletLevel01BodySlide"/>
              <w:spacing w:before="120" w:after="120"/>
            </w:pPr>
            <w:r>
              <w:t>Ne pas laisser le suspect continuer à exprimer ses dénégations.</w:t>
            </w:r>
          </w:p>
          <w:p w14:paraId="622C2753" w14:textId="77777777" w:rsidR="006D2B58" w:rsidRDefault="006D2B58" w:rsidP="009C6053">
            <w:pPr>
              <w:pStyle w:val="ATABulletLevel01BodySlide"/>
              <w:spacing w:before="120" w:after="120"/>
            </w:pPr>
            <w:r>
              <w:lastRenderedPageBreak/>
              <w:t>Plus un suspect pourra nier son implication après s'être fait accuser, moins il craindra de se faire prendre, ce qui atténuera toute anxiété intérieure liée à ses mensonges.</w:t>
            </w:r>
          </w:p>
          <w:p w14:paraId="58582B78" w14:textId="52ED839A" w:rsidR="006D2B58" w:rsidRDefault="006D2B58" w:rsidP="009C6053">
            <w:pPr>
              <w:pStyle w:val="ATABulletLevel01BodySlide"/>
              <w:spacing w:before="120" w:after="120"/>
            </w:pPr>
            <w:r>
              <w:t>Après avoir entendu les dénégations initiales du suspect pendant la première partie de l'interrogatoire, l’interrogateur doit tenter d’empêcher le suspect de nier une autre fois.</w:t>
            </w:r>
          </w:p>
        </w:tc>
        <w:tc>
          <w:tcPr>
            <w:tcW w:w="2112" w:type="dxa"/>
          </w:tcPr>
          <w:p w14:paraId="56CD58E9" w14:textId="6E1A4CED" w:rsidR="006D2B58" w:rsidRDefault="006D2B58" w:rsidP="009C6053">
            <w:pPr>
              <w:pStyle w:val="ATABulletLevel01BodySlide"/>
              <w:spacing w:before="120" w:after="120"/>
            </w:pPr>
            <w:r>
              <w:lastRenderedPageBreak/>
              <w:t>Interrogatoire non coercitif</w:t>
            </w:r>
          </w:p>
        </w:tc>
      </w:tr>
      <w:tr w:rsidR="006D2B58" w14:paraId="648C3EAB" w14:textId="2ECA1ACF" w:rsidTr="00315F62">
        <w:tc>
          <w:tcPr>
            <w:tcW w:w="1709" w:type="dxa"/>
          </w:tcPr>
          <w:p w14:paraId="14F2C076" w14:textId="742469F3" w:rsidR="006D2B58" w:rsidRDefault="006D2B58" w:rsidP="009C6053">
            <w:pPr>
              <w:pStyle w:val="ATABody"/>
              <w:spacing w:before="120" w:after="120"/>
            </w:pPr>
            <w:r>
              <w:t>Laisser le suspect aller et venir dans la pièce</w:t>
            </w:r>
          </w:p>
        </w:tc>
        <w:tc>
          <w:tcPr>
            <w:tcW w:w="5529" w:type="dxa"/>
          </w:tcPr>
          <w:p w14:paraId="353109E8" w14:textId="298E3FBD" w:rsidR="006D2B58" w:rsidRDefault="006D2B58" w:rsidP="009C6053">
            <w:pPr>
              <w:pStyle w:val="ATABulletLevel01BodySlide"/>
              <w:spacing w:before="120" w:after="120"/>
            </w:pPr>
            <w:r>
              <w:t>Encourager le suspect à s'assoir et à ne pas aller et venir dans la pièce.</w:t>
            </w:r>
          </w:p>
          <w:p w14:paraId="3FCE3321" w14:textId="1615CAD0" w:rsidR="006D2B58" w:rsidRDefault="006D2B58" w:rsidP="009C6053">
            <w:pPr>
              <w:pStyle w:val="ATABulletLevel01BodySlide"/>
              <w:spacing w:before="120" w:after="120"/>
            </w:pPr>
            <w:r>
              <w:t>Certains suspects tenteront d'atténuer leur anxiété en se levant pour faire des allées-venues dans la pièce pendant qu’ils nient leur implication dans le crime.</w:t>
            </w:r>
          </w:p>
        </w:tc>
        <w:tc>
          <w:tcPr>
            <w:tcW w:w="2112" w:type="dxa"/>
          </w:tcPr>
          <w:p w14:paraId="02060F72" w14:textId="77777777" w:rsidR="006D2B58" w:rsidRDefault="006D2B58" w:rsidP="006D2B58">
            <w:pPr>
              <w:pStyle w:val="ATABulletLevel01BodySlide"/>
              <w:spacing w:before="120" w:after="120"/>
            </w:pPr>
            <w:r>
              <w:t>Entretien d’un suspect</w:t>
            </w:r>
          </w:p>
          <w:p w14:paraId="1A734BCC" w14:textId="3D8B38BE" w:rsidR="006D2B58" w:rsidRDefault="006D2B58" w:rsidP="00D7164C">
            <w:pPr>
              <w:pStyle w:val="ATABulletLevel01BodySlide"/>
            </w:pPr>
            <w:r>
              <w:t>Interrogatoire non coercitif</w:t>
            </w:r>
          </w:p>
        </w:tc>
      </w:tr>
    </w:tbl>
    <w:p w14:paraId="1B102BE4" w14:textId="1FFF4278" w:rsidR="006033B4" w:rsidRPr="00315F62" w:rsidRDefault="006033B4" w:rsidP="00315F62">
      <w:pPr>
        <w:rPr>
          <w:rFonts w:ascii="Cambria" w:hAnsi="Cambria"/>
        </w:rPr>
      </w:pPr>
    </w:p>
    <w:p w14:paraId="44E36256" w14:textId="77777777" w:rsidR="00E10394" w:rsidRPr="006033B4" w:rsidRDefault="00E10394">
      <w:pPr>
        <w:pStyle w:val="ATABody"/>
        <w:rPr>
          <w:b/>
        </w:rPr>
      </w:pPr>
    </w:p>
    <w:sectPr w:rsidR="00E10394" w:rsidRPr="006033B4" w:rsidSect="00D17B4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D940" w14:textId="77777777" w:rsidR="00FD3876" w:rsidRDefault="00FD3876" w:rsidP="00C82114">
      <w:r>
        <w:separator/>
      </w:r>
    </w:p>
  </w:endnote>
  <w:endnote w:type="continuationSeparator" w:id="0">
    <w:p w14:paraId="77AE149D" w14:textId="77777777" w:rsidR="00FD3876" w:rsidRDefault="00FD3876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A353E3" w:rsidRPr="007C1E89" w14:paraId="74BFECE8" w14:textId="77777777" w:rsidTr="3DE38A1B">
      <w:tc>
        <w:tcPr>
          <w:tcW w:w="8100" w:type="dxa"/>
          <w:shd w:val="clear" w:color="auto" w:fill="auto"/>
        </w:tcPr>
        <w:p w14:paraId="6C5D366C" w14:textId="440D7C8C" w:rsidR="00A353E3" w:rsidRPr="008B2B7F" w:rsidRDefault="3DE38A1B" w:rsidP="004F4AFB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proofErr w:type="spellStart"/>
          <w:r>
            <w:rPr>
              <w:color w:val="000000" w:themeColor="text1"/>
            </w:rPr>
            <w:t>Interdicting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Terrorist</w:t>
          </w:r>
          <w:proofErr w:type="spellEnd"/>
          <w:r>
            <w:rPr>
              <w:color w:val="000000" w:themeColor="text1"/>
            </w:rPr>
            <w:t xml:space="preserve"> </w:t>
          </w:r>
          <w:proofErr w:type="spellStart"/>
          <w:r>
            <w:rPr>
              <w:color w:val="000000" w:themeColor="text1"/>
            </w:rPr>
            <w:t>Activities</w:t>
          </w:r>
          <w:proofErr w:type="spellEnd"/>
          <w:r>
            <w:rPr>
              <w:color w:val="000000" w:themeColor="text1"/>
            </w:rPr>
            <w:t xml:space="preserve"> </w:t>
          </w:r>
          <w:r w:rsidR="00315F62">
            <w:rPr>
              <w:color w:val="000000" w:themeColor="text1"/>
            </w:rPr>
            <w:t xml:space="preserve">(ITA) </w:t>
          </w:r>
          <w:r>
            <w:rPr>
              <w:color w:val="000000" w:themeColor="text1"/>
            </w:rPr>
            <w:t>v5.00</w:t>
          </w:r>
        </w:p>
      </w:tc>
      <w:tc>
        <w:tcPr>
          <w:tcW w:w="1260" w:type="dxa"/>
          <w:shd w:val="clear" w:color="auto" w:fill="auto"/>
        </w:tcPr>
        <w:p w14:paraId="4EFDAC18" w14:textId="57C3A92B" w:rsidR="00A353E3" w:rsidRPr="00F16863" w:rsidRDefault="00A353E3" w:rsidP="00A353E3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13C2B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315F62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13C2B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1F07878" w14:textId="77777777" w:rsidR="00A353E3" w:rsidRPr="009931CD" w:rsidRDefault="00A353E3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9931CD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4EFB" w14:textId="77777777" w:rsidR="00FD3876" w:rsidRDefault="00FD3876" w:rsidP="00C82114">
      <w:r>
        <w:separator/>
      </w:r>
    </w:p>
  </w:footnote>
  <w:footnote w:type="continuationSeparator" w:id="0">
    <w:p w14:paraId="58AB3D44" w14:textId="77777777" w:rsidR="00FD3876" w:rsidRDefault="00FD3876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A353E3" w:rsidRPr="009931CD" w14:paraId="17F963AF" w14:textId="77777777" w:rsidTr="00F16863">
      <w:tc>
        <w:tcPr>
          <w:tcW w:w="4788" w:type="dxa"/>
          <w:shd w:val="clear" w:color="auto" w:fill="auto"/>
          <w:vAlign w:val="bottom"/>
        </w:tcPr>
        <w:p w14:paraId="6A14092A" w14:textId="75C79A52" w:rsidR="00A353E3" w:rsidRPr="00456B51" w:rsidRDefault="00A353E3" w:rsidP="004F4AFB">
          <w:pPr>
            <w:pStyle w:val="ATAHeader"/>
          </w:pPr>
          <w:r>
            <w:t xml:space="preserve">Module </w:t>
          </w:r>
          <w:proofErr w:type="gramStart"/>
          <w:r>
            <w:t>14:</w:t>
          </w:r>
          <w:proofErr w:type="gramEnd"/>
          <w:r>
            <w:t xml:space="preserve"> Suspect Interviews</w:t>
          </w:r>
        </w:p>
      </w:tc>
      <w:tc>
        <w:tcPr>
          <w:tcW w:w="4788" w:type="dxa"/>
          <w:shd w:val="clear" w:color="auto" w:fill="auto"/>
          <w:vAlign w:val="bottom"/>
        </w:tcPr>
        <w:p w14:paraId="1DB08560" w14:textId="7C1FB884" w:rsidR="00A353E3" w:rsidRPr="009931CD" w:rsidRDefault="00A353E3" w:rsidP="004017CD">
          <w:pPr>
            <w:pStyle w:val="ATAHeader"/>
            <w:jc w:val="right"/>
            <w:rPr>
              <w:lang w:val="en-US"/>
            </w:rPr>
          </w:pPr>
          <w:r w:rsidRPr="009931CD">
            <w:rPr>
              <w:lang w:val="en-US"/>
            </w:rPr>
            <w:t>Workbook 14.1: Internal Anxiety of a Suspect</w:t>
          </w:r>
        </w:p>
      </w:tc>
    </w:tr>
  </w:tbl>
  <w:p w14:paraId="5571DFB4" w14:textId="77777777" w:rsidR="00A353E3" w:rsidRPr="009931CD" w:rsidRDefault="00A353E3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97385"/>
    <w:multiLevelType w:val="hybridMultilevel"/>
    <w:tmpl w:val="B374F880"/>
    <w:lvl w:ilvl="0" w:tplc="F3D4C352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12683"/>
    <w:multiLevelType w:val="hybridMultilevel"/>
    <w:tmpl w:val="75ACD43E"/>
    <w:lvl w:ilvl="0" w:tplc="C5980DC4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93752"/>
    <w:multiLevelType w:val="hybridMultilevel"/>
    <w:tmpl w:val="FC82B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44F60"/>
    <w:multiLevelType w:val="hybridMultilevel"/>
    <w:tmpl w:val="2FDA2C5A"/>
    <w:lvl w:ilvl="0" w:tplc="F1A4E40A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7707B9F"/>
    <w:multiLevelType w:val="hybridMultilevel"/>
    <w:tmpl w:val="F7DC6776"/>
    <w:lvl w:ilvl="0" w:tplc="7DA21BD6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4596301">
    <w:abstractNumId w:val="7"/>
  </w:num>
  <w:num w:numId="2" w16cid:durableId="99447782">
    <w:abstractNumId w:val="11"/>
  </w:num>
  <w:num w:numId="3" w16cid:durableId="258216764">
    <w:abstractNumId w:val="16"/>
  </w:num>
  <w:num w:numId="4" w16cid:durableId="1937402854">
    <w:abstractNumId w:val="8"/>
  </w:num>
  <w:num w:numId="5" w16cid:durableId="1040206679">
    <w:abstractNumId w:val="4"/>
  </w:num>
  <w:num w:numId="6" w16cid:durableId="683363692">
    <w:abstractNumId w:val="10"/>
  </w:num>
  <w:num w:numId="7" w16cid:durableId="1493721275">
    <w:abstractNumId w:val="9"/>
  </w:num>
  <w:num w:numId="8" w16cid:durableId="1758747032">
    <w:abstractNumId w:val="5"/>
  </w:num>
  <w:num w:numId="9" w16cid:durableId="2052610483">
    <w:abstractNumId w:val="0"/>
  </w:num>
  <w:num w:numId="10" w16cid:durableId="1537884184">
    <w:abstractNumId w:val="15"/>
  </w:num>
  <w:num w:numId="11" w16cid:durableId="1700085957">
    <w:abstractNumId w:val="16"/>
  </w:num>
  <w:num w:numId="12" w16cid:durableId="1090353142">
    <w:abstractNumId w:val="16"/>
  </w:num>
  <w:num w:numId="13" w16cid:durableId="306251738">
    <w:abstractNumId w:val="11"/>
  </w:num>
  <w:num w:numId="14" w16cid:durableId="1763065786">
    <w:abstractNumId w:val="22"/>
  </w:num>
  <w:num w:numId="15" w16cid:durableId="617948953">
    <w:abstractNumId w:val="12"/>
  </w:num>
  <w:num w:numId="16" w16cid:durableId="575895111">
    <w:abstractNumId w:val="23"/>
  </w:num>
  <w:num w:numId="17" w16cid:durableId="2118401128">
    <w:abstractNumId w:val="23"/>
    <w:lvlOverride w:ilvl="0">
      <w:startOverride w:val="1"/>
    </w:lvlOverride>
  </w:num>
  <w:num w:numId="18" w16cid:durableId="881748236">
    <w:abstractNumId w:val="22"/>
  </w:num>
  <w:num w:numId="19" w16cid:durableId="555896524">
    <w:abstractNumId w:val="3"/>
  </w:num>
  <w:num w:numId="20" w16cid:durableId="1692336976">
    <w:abstractNumId w:val="23"/>
  </w:num>
  <w:num w:numId="21" w16cid:durableId="283272054">
    <w:abstractNumId w:val="2"/>
  </w:num>
  <w:num w:numId="22" w16cid:durableId="721944735">
    <w:abstractNumId w:val="14"/>
  </w:num>
  <w:num w:numId="23" w16cid:durableId="83690988">
    <w:abstractNumId w:val="19"/>
  </w:num>
  <w:num w:numId="24" w16cid:durableId="1948998652">
    <w:abstractNumId w:val="20"/>
  </w:num>
  <w:num w:numId="25" w16cid:durableId="5511875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9704577">
    <w:abstractNumId w:val="6"/>
  </w:num>
  <w:num w:numId="27" w16cid:durableId="1540432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9183544">
    <w:abstractNumId w:val="13"/>
  </w:num>
  <w:num w:numId="29" w16cid:durableId="103964626">
    <w:abstractNumId w:val="13"/>
    <w:lvlOverride w:ilvl="0">
      <w:startOverride w:val="1"/>
    </w:lvlOverride>
  </w:num>
  <w:num w:numId="30" w16cid:durableId="1548565831">
    <w:abstractNumId w:val="21"/>
  </w:num>
  <w:num w:numId="31" w16cid:durableId="1498302584">
    <w:abstractNumId w:val="19"/>
  </w:num>
  <w:num w:numId="32" w16cid:durableId="1741558183">
    <w:abstractNumId w:val="1"/>
  </w:num>
  <w:num w:numId="33" w16cid:durableId="1127628791">
    <w:abstractNumId w:val="17"/>
  </w:num>
  <w:num w:numId="34" w16cid:durableId="59860881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B"/>
    <w:rsid w:val="00004548"/>
    <w:rsid w:val="00004ABB"/>
    <w:rsid w:val="000055CB"/>
    <w:rsid w:val="0000604B"/>
    <w:rsid w:val="00006D61"/>
    <w:rsid w:val="000109B9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36EE6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2EA2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59B"/>
    <w:rsid w:val="00172713"/>
    <w:rsid w:val="0017472B"/>
    <w:rsid w:val="0017688C"/>
    <w:rsid w:val="001779F0"/>
    <w:rsid w:val="001813D8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739DA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E5ADB"/>
    <w:rsid w:val="002F20B3"/>
    <w:rsid w:val="002F23B3"/>
    <w:rsid w:val="002F700A"/>
    <w:rsid w:val="003017B9"/>
    <w:rsid w:val="00301948"/>
    <w:rsid w:val="00302ACC"/>
    <w:rsid w:val="00303B04"/>
    <w:rsid w:val="00311AB8"/>
    <w:rsid w:val="00312331"/>
    <w:rsid w:val="00315F62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17CD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448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14F1"/>
    <w:rsid w:val="00472ED6"/>
    <w:rsid w:val="00475F14"/>
    <w:rsid w:val="00476D74"/>
    <w:rsid w:val="00477146"/>
    <w:rsid w:val="00477A14"/>
    <w:rsid w:val="00477B18"/>
    <w:rsid w:val="00477B9C"/>
    <w:rsid w:val="004806FC"/>
    <w:rsid w:val="00480888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08BA"/>
    <w:rsid w:val="004B21D1"/>
    <w:rsid w:val="004B271E"/>
    <w:rsid w:val="004B2CEB"/>
    <w:rsid w:val="004B338E"/>
    <w:rsid w:val="004B3AE0"/>
    <w:rsid w:val="004B5324"/>
    <w:rsid w:val="004B7A14"/>
    <w:rsid w:val="004B7AE3"/>
    <w:rsid w:val="004C3DF3"/>
    <w:rsid w:val="004C54B9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4AFB"/>
    <w:rsid w:val="004F5F0C"/>
    <w:rsid w:val="004F727F"/>
    <w:rsid w:val="005001B0"/>
    <w:rsid w:val="00500C6B"/>
    <w:rsid w:val="00503815"/>
    <w:rsid w:val="005120E9"/>
    <w:rsid w:val="00514B18"/>
    <w:rsid w:val="00521BC7"/>
    <w:rsid w:val="0052443B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6DD6"/>
    <w:rsid w:val="00567D7F"/>
    <w:rsid w:val="005729A2"/>
    <w:rsid w:val="00574575"/>
    <w:rsid w:val="00584385"/>
    <w:rsid w:val="0058573F"/>
    <w:rsid w:val="00585D07"/>
    <w:rsid w:val="0058763F"/>
    <w:rsid w:val="005904E9"/>
    <w:rsid w:val="005908DF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3B4"/>
    <w:rsid w:val="00603573"/>
    <w:rsid w:val="00603F3E"/>
    <w:rsid w:val="00605193"/>
    <w:rsid w:val="0061194F"/>
    <w:rsid w:val="006129A5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11D2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2B58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156D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242"/>
    <w:rsid w:val="00802ABE"/>
    <w:rsid w:val="008036F2"/>
    <w:rsid w:val="008041F7"/>
    <w:rsid w:val="0080542B"/>
    <w:rsid w:val="00805701"/>
    <w:rsid w:val="00811CBB"/>
    <w:rsid w:val="0081215D"/>
    <w:rsid w:val="0081244B"/>
    <w:rsid w:val="00813C2B"/>
    <w:rsid w:val="008160FC"/>
    <w:rsid w:val="00822510"/>
    <w:rsid w:val="008236BD"/>
    <w:rsid w:val="0082379C"/>
    <w:rsid w:val="0082462C"/>
    <w:rsid w:val="0082666F"/>
    <w:rsid w:val="00831134"/>
    <w:rsid w:val="00832BC2"/>
    <w:rsid w:val="00832C31"/>
    <w:rsid w:val="008348D9"/>
    <w:rsid w:val="0083495F"/>
    <w:rsid w:val="008374B6"/>
    <w:rsid w:val="00837B72"/>
    <w:rsid w:val="00842396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5D2"/>
    <w:rsid w:val="008B78ED"/>
    <w:rsid w:val="008B7C33"/>
    <w:rsid w:val="008C1CA9"/>
    <w:rsid w:val="008C59A5"/>
    <w:rsid w:val="008C70E0"/>
    <w:rsid w:val="008C7962"/>
    <w:rsid w:val="008D0D13"/>
    <w:rsid w:val="008D167B"/>
    <w:rsid w:val="008D3A9D"/>
    <w:rsid w:val="008D3AA8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428B"/>
    <w:rsid w:val="0090380F"/>
    <w:rsid w:val="00910FAB"/>
    <w:rsid w:val="00913360"/>
    <w:rsid w:val="009140B2"/>
    <w:rsid w:val="00917AA4"/>
    <w:rsid w:val="00920C1C"/>
    <w:rsid w:val="009263DF"/>
    <w:rsid w:val="0092682C"/>
    <w:rsid w:val="00934215"/>
    <w:rsid w:val="00934D1A"/>
    <w:rsid w:val="009370AB"/>
    <w:rsid w:val="00940F5E"/>
    <w:rsid w:val="009429C3"/>
    <w:rsid w:val="009435E9"/>
    <w:rsid w:val="00944F6D"/>
    <w:rsid w:val="009455D9"/>
    <w:rsid w:val="00950516"/>
    <w:rsid w:val="00950AE0"/>
    <w:rsid w:val="0095259E"/>
    <w:rsid w:val="0095357C"/>
    <w:rsid w:val="009550E2"/>
    <w:rsid w:val="00955C05"/>
    <w:rsid w:val="00957E6A"/>
    <w:rsid w:val="0096012F"/>
    <w:rsid w:val="00962359"/>
    <w:rsid w:val="009647A4"/>
    <w:rsid w:val="00964897"/>
    <w:rsid w:val="00965F2C"/>
    <w:rsid w:val="00971E34"/>
    <w:rsid w:val="0097232D"/>
    <w:rsid w:val="00972493"/>
    <w:rsid w:val="009732B8"/>
    <w:rsid w:val="00973986"/>
    <w:rsid w:val="00974569"/>
    <w:rsid w:val="009770C9"/>
    <w:rsid w:val="00980353"/>
    <w:rsid w:val="009907CB"/>
    <w:rsid w:val="009916FE"/>
    <w:rsid w:val="00991856"/>
    <w:rsid w:val="00992AA2"/>
    <w:rsid w:val="009931CD"/>
    <w:rsid w:val="009932E7"/>
    <w:rsid w:val="009944E3"/>
    <w:rsid w:val="00994739"/>
    <w:rsid w:val="0099624E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C6053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53E3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012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3CB0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B616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366E4"/>
    <w:rsid w:val="00B4038E"/>
    <w:rsid w:val="00B41960"/>
    <w:rsid w:val="00B44721"/>
    <w:rsid w:val="00B52FF5"/>
    <w:rsid w:val="00B533FA"/>
    <w:rsid w:val="00B534EF"/>
    <w:rsid w:val="00B53FCB"/>
    <w:rsid w:val="00B541A1"/>
    <w:rsid w:val="00B5675B"/>
    <w:rsid w:val="00B56A6C"/>
    <w:rsid w:val="00B56B24"/>
    <w:rsid w:val="00B57221"/>
    <w:rsid w:val="00B57545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77E54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16E4"/>
    <w:rsid w:val="00C04C75"/>
    <w:rsid w:val="00C050EB"/>
    <w:rsid w:val="00C052F7"/>
    <w:rsid w:val="00C056FF"/>
    <w:rsid w:val="00C066C6"/>
    <w:rsid w:val="00C129EB"/>
    <w:rsid w:val="00C14CB7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00F6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457F"/>
    <w:rsid w:val="00CC56F1"/>
    <w:rsid w:val="00CC61FD"/>
    <w:rsid w:val="00CC71B0"/>
    <w:rsid w:val="00CD6C53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2DAC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4762C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164C"/>
    <w:rsid w:val="00D73E4A"/>
    <w:rsid w:val="00D74E7B"/>
    <w:rsid w:val="00D758DE"/>
    <w:rsid w:val="00D77B92"/>
    <w:rsid w:val="00D80C06"/>
    <w:rsid w:val="00D80F0C"/>
    <w:rsid w:val="00D912C7"/>
    <w:rsid w:val="00D92839"/>
    <w:rsid w:val="00D96CA5"/>
    <w:rsid w:val="00D973DA"/>
    <w:rsid w:val="00DA2037"/>
    <w:rsid w:val="00DA468E"/>
    <w:rsid w:val="00DA4E10"/>
    <w:rsid w:val="00DB116B"/>
    <w:rsid w:val="00DB7DD2"/>
    <w:rsid w:val="00DC099A"/>
    <w:rsid w:val="00DC11DF"/>
    <w:rsid w:val="00DC27BF"/>
    <w:rsid w:val="00DC3CE3"/>
    <w:rsid w:val="00DC4E2F"/>
    <w:rsid w:val="00DC6867"/>
    <w:rsid w:val="00DC740C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0394"/>
    <w:rsid w:val="00E11938"/>
    <w:rsid w:val="00E123E5"/>
    <w:rsid w:val="00E15937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EC8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0E3B"/>
    <w:rsid w:val="00E815AD"/>
    <w:rsid w:val="00E831CE"/>
    <w:rsid w:val="00E846C2"/>
    <w:rsid w:val="00E853C9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0FB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0177"/>
    <w:rsid w:val="00F448D5"/>
    <w:rsid w:val="00F44B06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01F8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3876"/>
    <w:rsid w:val="00FD44C5"/>
    <w:rsid w:val="00FD766A"/>
    <w:rsid w:val="00FE62D1"/>
    <w:rsid w:val="00FF02CA"/>
    <w:rsid w:val="00FF143F"/>
    <w:rsid w:val="00FF264A"/>
    <w:rsid w:val="00FF348F"/>
    <w:rsid w:val="00FF4056"/>
    <w:rsid w:val="00FF4CA6"/>
    <w:rsid w:val="00FF5411"/>
    <w:rsid w:val="00FF6793"/>
    <w:rsid w:val="01586C72"/>
    <w:rsid w:val="0DCEB029"/>
    <w:rsid w:val="0F1B3C3D"/>
    <w:rsid w:val="12769AF8"/>
    <w:rsid w:val="1733DB28"/>
    <w:rsid w:val="19EBA404"/>
    <w:rsid w:val="1A6A382A"/>
    <w:rsid w:val="32361FA6"/>
    <w:rsid w:val="34B5DAE6"/>
    <w:rsid w:val="38E97486"/>
    <w:rsid w:val="3DE38A1B"/>
    <w:rsid w:val="551CE58D"/>
    <w:rsid w:val="56B8B5EE"/>
    <w:rsid w:val="5A60965F"/>
    <w:rsid w:val="71612CC4"/>
    <w:rsid w:val="769730A7"/>
    <w:rsid w:val="7B8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175247"/>
  <w15:docId w15:val="{3463E984-4EB6-416E-9BCF-2EECC1FF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831134"/>
    <w:pPr>
      <w:numPr>
        <w:numId w:val="2"/>
      </w:numPr>
      <w:ind w:left="772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831134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831134"/>
    <w:pPr>
      <w:numPr>
        <w:numId w:val="23"/>
      </w:numPr>
      <w:ind w:left="502" w:right="72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831134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31134"/>
    <w:pPr>
      <w:numPr>
        <w:numId w:val="32"/>
      </w:numPr>
      <w:ind w:left="360"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31134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4B08BA"/>
    <w:p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4B08BA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4B08BA"/>
    <w:pPr>
      <w:numPr>
        <w:numId w:val="30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93CB0"/>
    <w:rPr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qFormat/>
    <w:rsid w:val="00C14CB7"/>
    <w:pPr>
      <w:spacing w:after="200"/>
      <w:jc w:val="center"/>
    </w:pPr>
    <w:rPr>
      <w:rFonts w:eastAsiaTheme="minorHAnsi" w:cstheme="minorBidi"/>
      <w:b/>
      <w:bCs/>
      <w:sz w:val="20"/>
      <w:szCs w:val="18"/>
    </w:rPr>
  </w:style>
  <w:style w:type="character" w:customStyle="1" w:styleId="CaptionChar">
    <w:name w:val="Caption Char"/>
    <w:basedOn w:val="DefaultParagraphFont"/>
    <w:link w:val="Caption"/>
    <w:rsid w:val="00C14CB7"/>
    <w:rPr>
      <w:rFonts w:eastAsiaTheme="minorHAnsi" w:cstheme="minorBidi"/>
      <w:b/>
      <w:bCs/>
      <w:szCs w:val="18"/>
    </w:rPr>
  </w:style>
  <w:style w:type="paragraph" w:styleId="ListParagraph">
    <w:name w:val="List Paragraph"/>
    <w:basedOn w:val="Normal"/>
    <w:locked/>
    <w:rsid w:val="0048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b39b100-34c8-42a1-9ad6-b6ff7a1420fd"/>
    <ds:schemaRef ds:uri="67c3a874-3d5f-4ad1-9848-430308a359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9C4390-9B4A-4F91-B36C-A97252FEEA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C01FFC-E2CA-4C84-9393-D797995EBB09}"/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3</TotalTime>
  <Pages>3</Pages>
  <Words>638</Words>
  <Characters>3638</Characters>
  <Application>Microsoft Office Word</Application>
  <DocSecurity>0</DocSecurity>
  <Lines>30</Lines>
  <Paragraphs>8</Paragraphs>
  <ScaleCrop>false</ScaleCrop>
  <Company>Office of Antiterrorism Assistance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14: Suspect Interviews</dc:title>
  <dc:subject>Interdicting Terrorist Activities</dc:subject>
  <dc:creator>ATA</dc:creator>
  <cp:lastModifiedBy>Blackwell, Charita D</cp:lastModifiedBy>
  <cp:revision>22</cp:revision>
  <cp:lastPrinted>2012-04-27T18:10:00Z</cp:lastPrinted>
  <dcterms:created xsi:type="dcterms:W3CDTF">2021-12-30T11:27:00Z</dcterms:created>
  <dcterms:modified xsi:type="dcterms:W3CDTF">2023-03-25T00:23:00Z</dcterms:modified>
  <cp:category>Workbook 14.1: Internal Anxiety of a Suspect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2022-11-03T14:20:17Z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03e9eb08-97de-479c-b8f5-65f23b767200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