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DE45" w14:textId="00E83ABC" w:rsidR="00EE7DFC" w:rsidRPr="00644D00" w:rsidRDefault="00E96557" w:rsidP="00644D00">
      <w:pPr>
        <w:pStyle w:val="ATAModuleTitle"/>
      </w:pPr>
      <w:r>
        <w:t xml:space="preserve">Guide pratique 9.4: Fonctions </w:t>
      </w:r>
      <w:r w:rsidR="009B573D">
        <w:t xml:space="preserve">sur </w:t>
      </w:r>
      <w:r>
        <w:t>les lieux de crime</w:t>
      </w:r>
      <w:r>
        <w:rPr>
          <w:noProof/>
        </w:rPr>
        <w:drawing>
          <wp:anchor distT="0" distB="0" distL="114300" distR="114300" simplePos="0" relativeHeight="251658240" behindDoc="0" locked="1" layoutInCell="1" allowOverlap="1" wp14:anchorId="6FDD6157" wp14:editId="425D6BF2">
            <wp:simplePos x="0" y="0"/>
            <wp:positionH relativeFrom="column">
              <wp:posOffset>5695950</wp:posOffset>
            </wp:positionH>
            <wp:positionV relativeFrom="paragraph">
              <wp:posOffset>-12700</wp:posOffset>
            </wp:positionV>
            <wp:extent cx="269875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s1.jpg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7108"/>
      </w:tblGrid>
      <w:tr w:rsidR="00CE6F75" w:rsidRPr="00AD4364" w14:paraId="3D061484" w14:textId="77777777" w:rsidTr="00E96557">
        <w:tc>
          <w:tcPr>
            <w:tcW w:w="2250" w:type="dxa"/>
            <w:shd w:val="clear" w:color="auto" w:fill="auto"/>
          </w:tcPr>
          <w:p w14:paraId="26D4D8A1" w14:textId="77777777" w:rsidR="00CE6F75" w:rsidRPr="009D47C2" w:rsidRDefault="00CE6F75" w:rsidP="00523ADF">
            <w:pPr>
              <w:pStyle w:val="ATABody"/>
              <w:rPr>
                <w:rFonts w:eastAsia="Calibri"/>
                <w:b/>
              </w:rPr>
            </w:pPr>
            <w:r>
              <w:rPr>
                <w:b/>
              </w:rPr>
              <w:t>Fonction</w:t>
            </w:r>
          </w:p>
        </w:tc>
        <w:tc>
          <w:tcPr>
            <w:tcW w:w="7308" w:type="dxa"/>
            <w:shd w:val="clear" w:color="auto" w:fill="auto"/>
          </w:tcPr>
          <w:p w14:paraId="4E8770FA" w14:textId="77777777" w:rsidR="00CE6F75" w:rsidRPr="009D47C2" w:rsidRDefault="00CE6F75" w:rsidP="00523ADF">
            <w:pPr>
              <w:pStyle w:val="ATABody"/>
              <w:rPr>
                <w:rFonts w:eastAsia="Calibri" w:cstheme="minorHAnsi"/>
                <w:b/>
              </w:rPr>
            </w:pPr>
            <w:r>
              <w:rPr>
                <w:b/>
              </w:rPr>
              <w:t>Responsabilités</w:t>
            </w:r>
          </w:p>
        </w:tc>
      </w:tr>
      <w:tr w:rsidR="00CE6F75" w14:paraId="2011DEA0" w14:textId="77777777" w:rsidTr="00E96557">
        <w:tc>
          <w:tcPr>
            <w:tcW w:w="2250" w:type="dxa"/>
            <w:shd w:val="clear" w:color="auto" w:fill="auto"/>
          </w:tcPr>
          <w:p w14:paraId="2D4DE2CC" w14:textId="77777777" w:rsidR="00CE6F75" w:rsidRPr="009D47C2" w:rsidRDefault="00E96557" w:rsidP="00523ADF">
            <w:pPr>
              <w:pStyle w:val="ATABody"/>
              <w:rPr>
                <w:rFonts w:eastAsia="Calibri"/>
              </w:rPr>
            </w:pPr>
            <w:r>
              <w:t xml:space="preserve">Chef d'équipe </w:t>
            </w:r>
          </w:p>
        </w:tc>
        <w:tc>
          <w:tcPr>
            <w:tcW w:w="7308" w:type="dxa"/>
            <w:shd w:val="clear" w:color="auto" w:fill="auto"/>
          </w:tcPr>
          <w:p w14:paraId="20027398" w14:textId="77777777" w:rsidR="00E96557" w:rsidRP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Obtenir les détails de la mission et s’assurer que le matériel nécessaire est disponible.</w:t>
            </w:r>
          </w:p>
          <w:p w14:paraId="19194CA3" w14:textId="77777777" w:rsidR="00E96557" w:rsidRP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Arrivé sur les lieux, choisir un emplacement sûr et sécurisé pour la zone de rassemblement et installer cette dernière, si cela n'a pas déjà été fait.</w:t>
            </w:r>
          </w:p>
          <w:p w14:paraId="7A9DC873" w14:textId="77777777" w:rsidR="00E96557" w:rsidRP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 xml:space="preserve">S’assurer que le périmètre des lieux du crime est adéquat. </w:t>
            </w:r>
          </w:p>
          <w:p w14:paraId="121FEFAC" w14:textId="77777777" w:rsidR="00E96557" w:rsidRP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Examiner les lieux à une certaine distance pour identifier un point d'accès logique. Désigner un technicien pour prendre des photos à distance/de longue portée ainsi que des photos de la foule.</w:t>
            </w:r>
          </w:p>
          <w:p w14:paraId="6E3A51C1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 xml:space="preserve">Entrer sur les lieux avec un deuxième technicien pour mener une évaluation. </w:t>
            </w:r>
          </w:p>
          <w:p w14:paraId="4E5F42C3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 xml:space="preserve">Identifier tout problème de sécurité, la nécessité de faire appel à des spécialistes extérieurs, la présence d’éléments de preuve cruciaux ou transitoires et une méthodologie de recherche logique. </w:t>
            </w:r>
          </w:p>
          <w:p w14:paraId="3791112D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Marquer le chemin emprunté ainsi que tous les éléments de preuve apparents afin de les protéger.</w:t>
            </w:r>
          </w:p>
          <w:p w14:paraId="534CB91F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 xml:space="preserve">Affecter les techniciens aux fonctions appropriées en s’appuyant sur sa propre évaluation et le personnel disponible. </w:t>
            </w:r>
          </w:p>
          <w:p w14:paraId="4166C8EE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Tenir un journal administratif pour documenter :</w:t>
            </w:r>
          </w:p>
          <w:p w14:paraId="1F37372B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Les noms des techniciens et leurs affectations.</w:t>
            </w:r>
          </w:p>
          <w:p w14:paraId="244C24E5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 xml:space="preserve">Les heures d'arrivée et de départ. </w:t>
            </w:r>
          </w:p>
          <w:p w14:paraId="1830287B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Les événements importants qui se sont produits pendant la fouille.</w:t>
            </w:r>
          </w:p>
          <w:p w14:paraId="0A8DAE82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Les noms des personnes responsables des lieux du crime avant et après l’intervention du chef d'équipe actuel.</w:t>
            </w:r>
          </w:p>
          <w:p w14:paraId="786C7110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Maintenir la communication entre les membres de l'équipe et entre la scène de crime et l'enquêteur judiciaire ou le poste de commandement.</w:t>
            </w:r>
          </w:p>
          <w:p w14:paraId="733A69B9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Identifier les stratégies de traitement des lieux du crime, notamment le type de méthodologie de recherche à suivre et les types d’expertises à effectuer. Ces décisions doivent être prises en s'appuyant sur les procédures opérationnelles normalisées.</w:t>
            </w:r>
          </w:p>
          <w:p w14:paraId="22F6C23D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 xml:space="preserve">Examiner toute la documentation pour s'assurer qu'elle est complète et exacte. </w:t>
            </w:r>
          </w:p>
          <w:p w14:paraId="6F866484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t>Observer l'équipe pour détecter d’éventuels problèmes de santé ou psychologiques. Prévoir des pauses, de la nourriture, de l'eau et des sanitaires adéquats.</w:t>
            </w:r>
          </w:p>
          <w:p w14:paraId="11CB0B4D" w14:textId="77777777" w:rsidR="00E96557" w:rsidRDefault="00E96557" w:rsidP="004F2C33">
            <w:pPr>
              <w:pStyle w:val="ATABodyBulletLevel01"/>
              <w:numPr>
                <w:ilvl w:val="0"/>
                <w:numId w:val="11"/>
              </w:numPr>
            </w:pPr>
            <w:r>
              <w:lastRenderedPageBreak/>
              <w:t xml:space="preserve">Sauf en cas de circonstances exceptionnelles, veiller à ce que tous les membres de l'équipe restent ensemble jusqu'à ce que le travail soit terminé. </w:t>
            </w:r>
          </w:p>
          <w:p w14:paraId="357D3974" w14:textId="77777777" w:rsidR="00CE6F75" w:rsidRPr="00E96557" w:rsidRDefault="00E96557" w:rsidP="004F2C33">
            <w:pPr>
              <w:pStyle w:val="ATABodyBulletLevel01"/>
              <w:numPr>
                <w:ilvl w:val="0"/>
                <w:numId w:val="11"/>
              </w:numPr>
              <w:rPr>
                <w:rFonts w:eastAsia="Calibri"/>
              </w:rPr>
            </w:pPr>
            <w:r>
              <w:t>Informer les techniciens qu’ils ne doivent pas générer de rapport secondaire ni de critique écrite sans avoir réglé ces questions au préalable avec le chef d'équipe.</w:t>
            </w:r>
          </w:p>
        </w:tc>
      </w:tr>
      <w:tr w:rsidR="00CE6F75" w14:paraId="35A346D3" w14:textId="77777777" w:rsidTr="00E96557">
        <w:tc>
          <w:tcPr>
            <w:tcW w:w="2250" w:type="dxa"/>
            <w:shd w:val="clear" w:color="auto" w:fill="auto"/>
          </w:tcPr>
          <w:p w14:paraId="68965E8A" w14:textId="46D736B8" w:rsidR="00CE6F75" w:rsidRPr="009D47C2" w:rsidRDefault="00CE6F75" w:rsidP="00523ADF">
            <w:pPr>
              <w:pStyle w:val="ATABody"/>
              <w:rPr>
                <w:rFonts w:eastAsia="Calibri"/>
              </w:rPr>
            </w:pPr>
            <w:r>
              <w:lastRenderedPageBreak/>
              <w:t>Contrôle des entrées et sorties</w:t>
            </w:r>
          </w:p>
        </w:tc>
        <w:tc>
          <w:tcPr>
            <w:tcW w:w="7308" w:type="dxa"/>
            <w:shd w:val="clear" w:color="auto" w:fill="auto"/>
          </w:tcPr>
          <w:p w14:paraId="6BB5B9BC" w14:textId="77777777" w:rsidR="00CE6F75" w:rsidRPr="009D47C2" w:rsidRDefault="00CE6F75" w:rsidP="00CE6F75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Tenir un registre de toutes les personnes qui entrent et sortent des lieux du crime.</w:t>
            </w:r>
          </w:p>
        </w:tc>
      </w:tr>
      <w:tr w:rsidR="00CE6F75" w14:paraId="6292391C" w14:textId="77777777" w:rsidTr="00E96557">
        <w:tc>
          <w:tcPr>
            <w:tcW w:w="2250" w:type="dxa"/>
            <w:shd w:val="clear" w:color="auto" w:fill="auto"/>
          </w:tcPr>
          <w:p w14:paraId="53E0EB49" w14:textId="77777777" w:rsidR="00CE6F75" w:rsidRPr="009D47C2" w:rsidRDefault="00CE6F75" w:rsidP="00523ADF">
            <w:pPr>
              <w:pStyle w:val="ATABody"/>
              <w:rPr>
                <w:rFonts w:eastAsia="Calibri"/>
              </w:rPr>
            </w:pPr>
            <w:r>
              <w:t>Photographie</w:t>
            </w:r>
          </w:p>
        </w:tc>
        <w:tc>
          <w:tcPr>
            <w:tcW w:w="7308" w:type="dxa"/>
            <w:shd w:val="clear" w:color="auto" w:fill="auto"/>
          </w:tcPr>
          <w:p w14:paraId="76AF392A" w14:textId="77777777" w:rsidR="00CE6F75" w:rsidRPr="009D47C2" w:rsidRDefault="00CE6F75" w:rsidP="00CE6F75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Photographier les lieux et les éléments de preuve.</w:t>
            </w:r>
          </w:p>
          <w:p w14:paraId="3B3104CE" w14:textId="77777777" w:rsidR="00CE6F75" w:rsidRPr="009D47C2" w:rsidRDefault="00CE6F75" w:rsidP="00130A0A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Tenir un registre des photos. Cette fonction peut être confiée à une autre personne si les lieux sont grands.</w:t>
            </w:r>
          </w:p>
        </w:tc>
      </w:tr>
      <w:tr w:rsidR="00CE6F75" w14:paraId="5A100A30" w14:textId="77777777" w:rsidTr="00E96557">
        <w:tc>
          <w:tcPr>
            <w:tcW w:w="2250" w:type="dxa"/>
            <w:shd w:val="clear" w:color="auto" w:fill="auto"/>
          </w:tcPr>
          <w:p w14:paraId="1EA5E50E" w14:textId="77777777" w:rsidR="00CE6F75" w:rsidRPr="009D47C2" w:rsidRDefault="00CE6F75" w:rsidP="00523ADF">
            <w:pPr>
              <w:pStyle w:val="ATABody"/>
              <w:rPr>
                <w:rFonts w:eastAsia="Calibri"/>
              </w:rPr>
            </w:pPr>
            <w:r>
              <w:t>Croquis des lieux</w:t>
            </w:r>
          </w:p>
        </w:tc>
        <w:tc>
          <w:tcPr>
            <w:tcW w:w="7308" w:type="dxa"/>
            <w:shd w:val="clear" w:color="auto" w:fill="auto"/>
          </w:tcPr>
          <w:p w14:paraId="5D51038E" w14:textId="77777777" w:rsidR="00CE6F75" w:rsidRPr="009D47C2" w:rsidRDefault="00AD4364" w:rsidP="00CE6F75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Mesurer avec précision la zone à fouiller.</w:t>
            </w:r>
          </w:p>
          <w:p w14:paraId="080244A4" w14:textId="77777777" w:rsidR="00CE6F75" w:rsidRPr="009D47C2" w:rsidRDefault="00CE6F75" w:rsidP="00CE6F75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Faire un croquis des lieux en indiquant où se trouvent les éléments de preuve.</w:t>
            </w:r>
          </w:p>
        </w:tc>
      </w:tr>
      <w:tr w:rsidR="00CE6F75" w14:paraId="090CD7D1" w14:textId="77777777" w:rsidTr="00E96557">
        <w:tc>
          <w:tcPr>
            <w:tcW w:w="2250" w:type="dxa"/>
            <w:shd w:val="clear" w:color="auto" w:fill="auto"/>
          </w:tcPr>
          <w:p w14:paraId="3463BFA3" w14:textId="77777777" w:rsidR="00CE6F75" w:rsidRPr="009D47C2" w:rsidRDefault="00130A0A" w:rsidP="00523ADF">
            <w:pPr>
              <w:pStyle w:val="ATABody"/>
              <w:rPr>
                <w:rFonts w:eastAsia="Calibri"/>
              </w:rPr>
            </w:pPr>
            <w:r>
              <w:t>Recherche des éléments de preuve</w:t>
            </w:r>
          </w:p>
        </w:tc>
        <w:tc>
          <w:tcPr>
            <w:tcW w:w="7308" w:type="dxa"/>
            <w:shd w:val="clear" w:color="auto" w:fill="auto"/>
          </w:tcPr>
          <w:p w14:paraId="71BB8EC7" w14:textId="77777777" w:rsidR="00CE6F75" w:rsidRPr="009D47C2" w:rsidRDefault="00CE6F75" w:rsidP="00CE6F75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Procéder à une fouille minutieuse en employant la méthodologie adaptée.</w:t>
            </w:r>
          </w:p>
          <w:p w14:paraId="43615BD5" w14:textId="77777777" w:rsidR="00CE6F75" w:rsidRPr="009D47C2" w:rsidRDefault="00CE6F75" w:rsidP="00CE6F75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Marquer chaque élément de preuve possible.</w:t>
            </w:r>
          </w:p>
        </w:tc>
      </w:tr>
      <w:tr w:rsidR="00CE6F75" w14:paraId="6F7D4920" w14:textId="77777777" w:rsidTr="00E96557">
        <w:tc>
          <w:tcPr>
            <w:tcW w:w="2250" w:type="dxa"/>
            <w:shd w:val="clear" w:color="auto" w:fill="auto"/>
          </w:tcPr>
          <w:p w14:paraId="4CC033CF" w14:textId="77777777" w:rsidR="00CE6F75" w:rsidRPr="009D47C2" w:rsidRDefault="00CE6F75" w:rsidP="00523ADF">
            <w:pPr>
              <w:pStyle w:val="ATABody"/>
              <w:rPr>
                <w:rFonts w:eastAsia="Calibri"/>
              </w:rPr>
            </w:pPr>
            <w:r>
              <w:t>Collecte d’éléments de preuve</w:t>
            </w:r>
          </w:p>
        </w:tc>
        <w:tc>
          <w:tcPr>
            <w:tcW w:w="7308" w:type="dxa"/>
            <w:shd w:val="clear" w:color="auto" w:fill="auto"/>
          </w:tcPr>
          <w:p w14:paraId="04905F99" w14:textId="77777777" w:rsidR="00C65A5A" w:rsidRPr="00C65A5A" w:rsidRDefault="00C65A5A" w:rsidP="00C65A5A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S’assurer que les bonnes photos ont été prises et qu'un croquis a été dessiné.</w:t>
            </w:r>
          </w:p>
          <w:p w14:paraId="31B02A6E" w14:textId="77777777" w:rsidR="00C65A5A" w:rsidRPr="00C65A5A" w:rsidRDefault="00C65A5A" w:rsidP="00C65A5A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Déterminer si l'on peut déplacer l’objet en toute sécurité, sans oublier d'examiner s’il y a des fils, des flacons brisés ou des restes humains.</w:t>
            </w:r>
          </w:p>
          <w:p w14:paraId="4E587A21" w14:textId="77777777" w:rsidR="00C65A5A" w:rsidRPr="00C65A5A" w:rsidRDefault="00C65A5A" w:rsidP="00C65A5A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Collecter, étiqueter et emballer les éléments de preuve de manière à les protéger et à éviter toute contamination.</w:t>
            </w:r>
          </w:p>
          <w:p w14:paraId="3352185C" w14:textId="77777777" w:rsidR="00CE6F75" w:rsidRPr="009D47C2" w:rsidRDefault="00C65A5A" w:rsidP="00C65A5A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Remettre les éléments de preuve à la personne qui en est responsable.</w:t>
            </w:r>
          </w:p>
        </w:tc>
      </w:tr>
      <w:tr w:rsidR="00130A0A" w14:paraId="3D4D66AC" w14:textId="77777777" w:rsidTr="00E96557">
        <w:tc>
          <w:tcPr>
            <w:tcW w:w="2250" w:type="dxa"/>
            <w:shd w:val="clear" w:color="auto" w:fill="auto"/>
          </w:tcPr>
          <w:p w14:paraId="346B4A4F" w14:textId="77777777" w:rsidR="00130A0A" w:rsidRPr="009D47C2" w:rsidRDefault="00130A0A" w:rsidP="00C65A5A">
            <w:pPr>
              <w:pStyle w:val="ATABody"/>
              <w:rPr>
                <w:rFonts w:eastAsia="Calibri"/>
              </w:rPr>
            </w:pPr>
            <w:r>
              <w:t>Responsable des éléments de preuve</w:t>
            </w:r>
          </w:p>
        </w:tc>
        <w:tc>
          <w:tcPr>
            <w:tcW w:w="7308" w:type="dxa"/>
            <w:shd w:val="clear" w:color="auto" w:fill="auto"/>
          </w:tcPr>
          <w:p w14:paraId="130E91F1" w14:textId="77777777" w:rsidR="00C65A5A" w:rsidRPr="00C65A5A" w:rsidRDefault="00C65A5A" w:rsidP="00C65A5A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Recevoir les éléments de preuve collectés par les techniciens.</w:t>
            </w:r>
          </w:p>
          <w:p w14:paraId="31018AD7" w14:textId="77777777" w:rsidR="00C65A5A" w:rsidRPr="00C65A5A" w:rsidRDefault="00C65A5A" w:rsidP="00C65A5A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 xml:space="preserve">S’assurer du bon étiquetage et emballage des éléments de preuve. </w:t>
            </w:r>
          </w:p>
          <w:p w14:paraId="23382E1A" w14:textId="77777777" w:rsidR="00130A0A" w:rsidRPr="009D47C2" w:rsidRDefault="00C65A5A" w:rsidP="00C65A5A">
            <w:pPr>
              <w:pStyle w:val="ATABody"/>
              <w:numPr>
                <w:ilvl w:val="0"/>
                <w:numId w:val="9"/>
              </w:numPr>
              <w:rPr>
                <w:rFonts w:eastAsia="Calibri" w:cstheme="minorHAnsi"/>
              </w:rPr>
            </w:pPr>
            <w:r>
              <w:t>Consigner les informations pertinentes dans le registre des preuves, y compris les notes sur toute modification apportée à un élément, comme la neutralisation d'une arme à feu.</w:t>
            </w:r>
          </w:p>
        </w:tc>
      </w:tr>
    </w:tbl>
    <w:p w14:paraId="5D68BC69" w14:textId="77777777" w:rsidR="00CE6F75" w:rsidRDefault="00CE6F75" w:rsidP="00CE6F75">
      <w:pPr>
        <w:pStyle w:val="ATABody"/>
      </w:pPr>
    </w:p>
    <w:p w14:paraId="1610DF84" w14:textId="77777777" w:rsidR="00CE6F75" w:rsidRDefault="00CE6F75" w:rsidP="00CE6F75">
      <w:pPr>
        <w:pStyle w:val="ATABody"/>
      </w:pPr>
    </w:p>
    <w:p w14:paraId="205B767D" w14:textId="77777777" w:rsidR="00CE6F75" w:rsidRPr="00B45772" w:rsidRDefault="00CE6F75" w:rsidP="00CE6F75">
      <w:pPr>
        <w:pStyle w:val="ATABody"/>
      </w:pPr>
    </w:p>
    <w:sectPr w:rsidR="00CE6F75" w:rsidRPr="00B45772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58D4" w14:textId="77777777" w:rsidR="00A13324" w:rsidRDefault="00A13324" w:rsidP="00C82114">
      <w:r>
        <w:separator/>
      </w:r>
    </w:p>
  </w:endnote>
  <w:endnote w:type="continuationSeparator" w:id="0">
    <w:p w14:paraId="6C9D0C89" w14:textId="77777777" w:rsidR="00A13324" w:rsidRDefault="00A13324" w:rsidP="00C82114">
      <w:r>
        <w:continuationSeparator/>
      </w:r>
    </w:p>
  </w:endnote>
  <w:endnote w:type="continuationNotice" w:id="1">
    <w:p w14:paraId="1C6F6666" w14:textId="77777777" w:rsidR="00A13324" w:rsidRDefault="00A13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 w:cs="Arial"/>
        <w:sz w:val="24"/>
      </w:rPr>
      <w:id w:val="568963130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5000" w:type="pc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0"/>
          <w:gridCol w:w="1260"/>
        </w:tblGrid>
        <w:tr w:rsidR="0026591D" w:rsidRPr="00A62545" w14:paraId="780D2645" w14:textId="77777777" w:rsidTr="0026591D">
          <w:tc>
            <w:tcPr>
              <w:tcW w:w="8100" w:type="dxa"/>
            </w:tcPr>
            <w:p w14:paraId="0D787595" w14:textId="1AD9123D" w:rsidR="0026591D" w:rsidRPr="00512D78" w:rsidRDefault="00ED7E10" w:rsidP="00E26A3B">
              <w:pPr>
                <w:pStyle w:val="ATAFooter"/>
                <w:rPr>
                  <w:rStyle w:val="ATAFooterChar"/>
                  <w:rFonts w:eastAsia="Arial Unicode MS" w:cs="Arial"/>
                  <w:lang w:val="en-US"/>
                </w:rPr>
              </w:pPr>
              <w:r w:rsidRPr="00512D78">
                <w:rPr>
                  <w:rStyle w:val="ATAFooterChar"/>
                  <w:lang w:val="en-US"/>
                </w:rPr>
                <w:t xml:space="preserve">Interdicting Terrorist Activities (ITA) v5.00 </w:t>
              </w:r>
            </w:p>
          </w:tc>
          <w:tc>
            <w:tcPr>
              <w:tcW w:w="1260" w:type="dxa"/>
            </w:tcPr>
            <w:p w14:paraId="6143908C" w14:textId="5BF28D66" w:rsidR="0026591D" w:rsidRPr="00A62545" w:rsidRDefault="0026591D" w:rsidP="0026591D">
              <w:pPr>
                <w:pStyle w:val="ATAFooter"/>
                <w:jc w:val="right"/>
                <w:rPr>
                  <w:rFonts w:cs="Arial"/>
                  <w:szCs w:val="18"/>
                </w:rPr>
              </w:pPr>
              <w:r>
                <w:rPr>
                  <w:rStyle w:val="ATAFooterChar"/>
                </w:rPr>
                <w:t xml:space="preserve">Page </w:t>
              </w:r>
              <w:r w:rsidR="00C362B9" w:rsidRPr="00A62545">
                <w:rPr>
                  <w:rStyle w:val="ATAFooterChar"/>
                  <w:rFonts w:eastAsia="Arial Unicode MS" w:cs="Arial"/>
                </w:rPr>
                <w:fldChar w:fldCharType="begin"/>
              </w:r>
              <w:r w:rsidRPr="00A62545">
                <w:rPr>
                  <w:rStyle w:val="ATAFooterChar"/>
                  <w:rFonts w:eastAsia="Arial Unicode MS" w:cs="Arial"/>
                </w:rPr>
                <w:instrText xml:space="preserve"> PAGE </w:instrText>
              </w:r>
              <w:r w:rsidR="00C362B9" w:rsidRPr="00A62545">
                <w:rPr>
                  <w:rStyle w:val="ATAFooterChar"/>
                  <w:rFonts w:eastAsia="Arial Unicode MS" w:cs="Arial"/>
                </w:rPr>
                <w:fldChar w:fldCharType="separate"/>
              </w:r>
              <w:r w:rsidR="00DC4C27">
                <w:rPr>
                  <w:rStyle w:val="ATAFooterChar"/>
                  <w:rFonts w:eastAsia="Arial Unicode MS" w:cs="Arial"/>
                </w:rPr>
                <w:t>2</w:t>
              </w:r>
              <w:r w:rsidR="00C362B9" w:rsidRPr="00A62545">
                <w:rPr>
                  <w:rStyle w:val="ATAFooterChar"/>
                  <w:rFonts w:eastAsia="Arial Unicode MS" w:cs="Arial"/>
                </w:rPr>
                <w:fldChar w:fldCharType="end"/>
              </w:r>
              <w:r w:rsidR="00BB587E">
                <w:rPr>
                  <w:rStyle w:val="ATAFooterChar"/>
                  <w:rFonts w:eastAsia="Arial Unicode MS" w:cs="Arial"/>
                </w:rPr>
                <w:t xml:space="preserve"> of </w:t>
              </w:r>
              <w:r w:rsidR="00C362B9" w:rsidRPr="00A62545">
                <w:rPr>
                  <w:rStyle w:val="ATAFooterChar"/>
                  <w:rFonts w:eastAsia="Arial Unicode MS" w:cs="Arial"/>
                </w:rPr>
                <w:fldChar w:fldCharType="begin"/>
              </w:r>
              <w:r w:rsidRPr="00A62545">
                <w:rPr>
                  <w:rStyle w:val="ATAFooterChar"/>
                  <w:rFonts w:eastAsia="Arial Unicode MS" w:cs="Arial"/>
                </w:rPr>
                <w:instrText xml:space="preserve"> NUMPAGES  \# "0"  \* MERGEFORMAT </w:instrText>
              </w:r>
              <w:r w:rsidR="00C362B9" w:rsidRPr="00A62545">
                <w:rPr>
                  <w:rStyle w:val="ATAFooterChar"/>
                  <w:rFonts w:eastAsia="Arial Unicode MS" w:cs="Arial"/>
                </w:rPr>
                <w:fldChar w:fldCharType="separate"/>
              </w:r>
              <w:r w:rsidR="00DC4C27">
                <w:rPr>
                  <w:rStyle w:val="ATAFooterChar"/>
                  <w:rFonts w:eastAsia="Arial Unicode MS" w:cs="Arial"/>
                </w:rPr>
                <w:t>2</w:t>
              </w:r>
              <w:r w:rsidR="00C362B9" w:rsidRPr="00A62545">
                <w:rPr>
                  <w:rStyle w:val="ATAFooterChar"/>
                  <w:rFonts w:eastAsia="Arial Unicode MS" w:cs="Arial"/>
                </w:rPr>
                <w:fldChar w:fldCharType="end"/>
              </w:r>
            </w:p>
          </w:tc>
        </w:tr>
      </w:tbl>
      <w:p w14:paraId="2B8215FC" w14:textId="77777777" w:rsidR="00CE54B2" w:rsidRPr="00512D78" w:rsidRDefault="00CE54B2" w:rsidP="00423B24">
        <w:pPr>
          <w:tabs>
            <w:tab w:val="right" w:pos="8640"/>
          </w:tabs>
          <w:jc w:val="center"/>
          <w:rPr>
            <w:rFonts w:ascii="Arial" w:eastAsia="Arial Unicode MS" w:hAnsi="Arial" w:cs="Arial"/>
            <w:lang w:val="en-US"/>
          </w:rPr>
        </w:pPr>
        <w:r w:rsidRPr="00512D78">
          <w:rPr>
            <w:rFonts w:ascii="Arial" w:hAnsi="Arial"/>
            <w:b/>
            <w:sz w:val="18"/>
            <w:lang w:val="en-US"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411A" w14:textId="77777777" w:rsidR="00A13324" w:rsidRDefault="00A13324" w:rsidP="00C82114">
      <w:r>
        <w:separator/>
      </w:r>
    </w:p>
  </w:footnote>
  <w:footnote w:type="continuationSeparator" w:id="0">
    <w:p w14:paraId="30F91D87" w14:textId="77777777" w:rsidR="00A13324" w:rsidRDefault="00A13324" w:rsidP="00C82114">
      <w:r>
        <w:continuationSeparator/>
      </w:r>
    </w:p>
  </w:footnote>
  <w:footnote w:type="continuationNotice" w:id="1">
    <w:p w14:paraId="5C2C66D0" w14:textId="77777777" w:rsidR="00A13324" w:rsidRDefault="00A13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0"/>
      <w:gridCol w:w="4320"/>
    </w:tblGrid>
    <w:tr w:rsidR="00456B51" w:rsidRPr="00456B51" w14:paraId="6C6AA844" w14:textId="77777777" w:rsidTr="00401B2D">
      <w:tc>
        <w:tcPr>
          <w:tcW w:w="5040" w:type="dxa"/>
          <w:vAlign w:val="bottom"/>
        </w:tcPr>
        <w:p w14:paraId="5ED9E0A1" w14:textId="2191AB17" w:rsidR="00456B51" w:rsidRPr="00456B51" w:rsidRDefault="00CD7B40" w:rsidP="00E96557">
          <w:pPr>
            <w:pStyle w:val="ATAHeader"/>
          </w:pPr>
          <w:r>
            <w:t xml:space="preserve">Module 9: </w:t>
          </w:r>
          <w:proofErr w:type="spellStart"/>
          <w:r>
            <w:t>Conducting</w:t>
          </w:r>
          <w:proofErr w:type="spellEnd"/>
          <w:r>
            <w:t xml:space="preserve"> a</w:t>
          </w:r>
          <w:r w:rsidR="00BB587E">
            <w:t xml:space="preserve"> Crime </w:t>
          </w:r>
          <w:proofErr w:type="spellStart"/>
          <w:r w:rsidR="00BB587E">
            <w:t>Scene</w:t>
          </w:r>
          <w:proofErr w:type="spellEnd"/>
          <w:r w:rsidR="00BB587E">
            <w:t xml:space="preserve"> </w:t>
          </w:r>
          <w:r>
            <w:t>Investigation</w:t>
          </w:r>
        </w:p>
      </w:tc>
      <w:tc>
        <w:tcPr>
          <w:tcW w:w="4320" w:type="dxa"/>
          <w:vAlign w:val="bottom"/>
        </w:tcPr>
        <w:p w14:paraId="678B773F" w14:textId="721CCE60" w:rsidR="00456B51" w:rsidRPr="00456B51" w:rsidRDefault="00E96557" w:rsidP="00E26A3B">
          <w:pPr>
            <w:pStyle w:val="ATAHeader"/>
            <w:tabs>
              <w:tab w:val="clear" w:pos="0"/>
              <w:tab w:val="left" w:pos="-450"/>
            </w:tabs>
            <w:ind w:left="-360" w:hanging="90"/>
            <w:jc w:val="right"/>
          </w:pPr>
          <w:proofErr w:type="spellStart"/>
          <w:r>
            <w:t>Workbook</w:t>
          </w:r>
          <w:proofErr w:type="spellEnd"/>
          <w:r>
            <w:t xml:space="preserve"> 9.4: Crime </w:t>
          </w:r>
          <w:proofErr w:type="spellStart"/>
          <w:r>
            <w:t>Scene</w:t>
          </w:r>
          <w:proofErr w:type="spellEnd"/>
          <w:r>
            <w:t xml:space="preserve"> </w:t>
          </w:r>
          <w:proofErr w:type="spellStart"/>
          <w:r>
            <w:t>Functions</w:t>
          </w:r>
          <w:proofErr w:type="spellEnd"/>
        </w:p>
      </w:tc>
    </w:tr>
  </w:tbl>
  <w:p w14:paraId="52C6269F" w14:textId="77777777" w:rsidR="00CE54B2" w:rsidRPr="00456B51" w:rsidRDefault="00CE54B2" w:rsidP="0045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71B2"/>
    <w:multiLevelType w:val="hybridMultilevel"/>
    <w:tmpl w:val="2C065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32AC9"/>
    <w:multiLevelType w:val="hybridMultilevel"/>
    <w:tmpl w:val="1C7053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3F402C06"/>
    <w:multiLevelType w:val="hybridMultilevel"/>
    <w:tmpl w:val="3E26B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12683"/>
    <w:multiLevelType w:val="hybridMultilevel"/>
    <w:tmpl w:val="7186831E"/>
    <w:lvl w:ilvl="0" w:tplc="B866D9D2">
      <w:start w:val="1"/>
      <w:numFmt w:val="bullet"/>
      <w:pStyle w:val="ATAFacNoteLevel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6" w15:restartNumberingAfterBreak="0">
    <w:nsid w:val="46463C46"/>
    <w:multiLevelType w:val="hybridMultilevel"/>
    <w:tmpl w:val="33DAA558"/>
    <w:lvl w:ilvl="0" w:tplc="BEB6EA14">
      <w:start w:val="1"/>
      <w:numFmt w:val="bullet"/>
      <w:pStyle w:val="ATAFacNote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  <w:color w:val="000000" w:themeColor="text1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58A7360B"/>
    <w:multiLevelType w:val="hybridMultilevel"/>
    <w:tmpl w:val="EEF6FBDE"/>
    <w:lvl w:ilvl="0" w:tplc="1B7002FA">
      <w:start w:val="1"/>
      <w:numFmt w:val="bullet"/>
      <w:pStyle w:val="BodyText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43F9A"/>
    <w:multiLevelType w:val="hybridMultilevel"/>
    <w:tmpl w:val="8C40FC6C"/>
    <w:lvl w:ilvl="0" w:tplc="03567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C718C"/>
    <w:multiLevelType w:val="hybridMultilevel"/>
    <w:tmpl w:val="B12E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D72A6"/>
    <w:multiLevelType w:val="hybridMultilevel"/>
    <w:tmpl w:val="6CDCA622"/>
    <w:lvl w:ilvl="0" w:tplc="ED9E5132">
      <w:start w:val="1"/>
      <w:numFmt w:val="bullet"/>
      <w:pStyle w:val="ATAFacNoteLevel1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2773">
    <w:abstractNumId w:val="3"/>
  </w:num>
  <w:num w:numId="2" w16cid:durableId="1638955898">
    <w:abstractNumId w:val="10"/>
  </w:num>
  <w:num w:numId="3" w16cid:durableId="623317496">
    <w:abstractNumId w:val="5"/>
  </w:num>
  <w:num w:numId="4" w16cid:durableId="615868649">
    <w:abstractNumId w:val="0"/>
  </w:num>
  <w:num w:numId="5" w16cid:durableId="505439162">
    <w:abstractNumId w:val="2"/>
  </w:num>
  <w:num w:numId="6" w16cid:durableId="871845815">
    <w:abstractNumId w:val="7"/>
  </w:num>
  <w:num w:numId="7" w16cid:durableId="672613739">
    <w:abstractNumId w:val="6"/>
  </w:num>
  <w:num w:numId="8" w16cid:durableId="1142767442">
    <w:abstractNumId w:val="9"/>
  </w:num>
  <w:num w:numId="9" w16cid:durableId="1648702730">
    <w:abstractNumId w:val="1"/>
  </w:num>
  <w:num w:numId="10" w16cid:durableId="1170100359">
    <w:abstractNumId w:val="8"/>
  </w:num>
  <w:num w:numId="11" w16cid:durableId="166409125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34"/>
    <w:rsid w:val="00000D34"/>
    <w:rsid w:val="00004548"/>
    <w:rsid w:val="00004ABB"/>
    <w:rsid w:val="000055CB"/>
    <w:rsid w:val="0000604B"/>
    <w:rsid w:val="00006D61"/>
    <w:rsid w:val="00010BEA"/>
    <w:rsid w:val="00011A4A"/>
    <w:rsid w:val="00014E6C"/>
    <w:rsid w:val="00015024"/>
    <w:rsid w:val="00021D76"/>
    <w:rsid w:val="000244DC"/>
    <w:rsid w:val="0003028C"/>
    <w:rsid w:val="000307C7"/>
    <w:rsid w:val="000313F9"/>
    <w:rsid w:val="00032A64"/>
    <w:rsid w:val="00034294"/>
    <w:rsid w:val="000345A1"/>
    <w:rsid w:val="00035445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6367"/>
    <w:rsid w:val="000879BC"/>
    <w:rsid w:val="000904E7"/>
    <w:rsid w:val="00090D5C"/>
    <w:rsid w:val="00091597"/>
    <w:rsid w:val="000920BB"/>
    <w:rsid w:val="0009460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AA5"/>
    <w:rsid w:val="000D4E8E"/>
    <w:rsid w:val="000D6923"/>
    <w:rsid w:val="000E053F"/>
    <w:rsid w:val="000E50CD"/>
    <w:rsid w:val="000F784C"/>
    <w:rsid w:val="00104113"/>
    <w:rsid w:val="001042E5"/>
    <w:rsid w:val="00104C01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0A0A"/>
    <w:rsid w:val="00132CA1"/>
    <w:rsid w:val="00134898"/>
    <w:rsid w:val="00140812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688C"/>
    <w:rsid w:val="001779F0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214D"/>
    <w:rsid w:val="001E469C"/>
    <w:rsid w:val="001E4F4D"/>
    <w:rsid w:val="001F3EDA"/>
    <w:rsid w:val="001F5C04"/>
    <w:rsid w:val="001F5C4C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135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CC0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C7B53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087A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353C"/>
    <w:rsid w:val="0036366F"/>
    <w:rsid w:val="00364C1E"/>
    <w:rsid w:val="0036653F"/>
    <w:rsid w:val="00366661"/>
    <w:rsid w:val="00371178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589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1B2D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6E1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28C9"/>
    <w:rsid w:val="0049374E"/>
    <w:rsid w:val="00494C38"/>
    <w:rsid w:val="004A2700"/>
    <w:rsid w:val="004A4538"/>
    <w:rsid w:val="004A4DD1"/>
    <w:rsid w:val="004B21D1"/>
    <w:rsid w:val="004B271E"/>
    <w:rsid w:val="004B2CEB"/>
    <w:rsid w:val="004B338E"/>
    <w:rsid w:val="004B3AE0"/>
    <w:rsid w:val="004B5324"/>
    <w:rsid w:val="004B653C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2C33"/>
    <w:rsid w:val="004F30CC"/>
    <w:rsid w:val="004F5F0C"/>
    <w:rsid w:val="004F727F"/>
    <w:rsid w:val="005001B0"/>
    <w:rsid w:val="00500C6B"/>
    <w:rsid w:val="00503815"/>
    <w:rsid w:val="005120E9"/>
    <w:rsid w:val="00512D78"/>
    <w:rsid w:val="00521BC7"/>
    <w:rsid w:val="00523ADF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763F"/>
    <w:rsid w:val="005904E9"/>
    <w:rsid w:val="00592107"/>
    <w:rsid w:val="0059327E"/>
    <w:rsid w:val="00595179"/>
    <w:rsid w:val="005A2991"/>
    <w:rsid w:val="005A3490"/>
    <w:rsid w:val="005B1929"/>
    <w:rsid w:val="005B1AFE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082A"/>
    <w:rsid w:val="005D4101"/>
    <w:rsid w:val="005D454B"/>
    <w:rsid w:val="005D4BF2"/>
    <w:rsid w:val="005D6CD1"/>
    <w:rsid w:val="005D7690"/>
    <w:rsid w:val="005F1695"/>
    <w:rsid w:val="005F1DF1"/>
    <w:rsid w:val="005F7C17"/>
    <w:rsid w:val="005F7E3A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1190"/>
    <w:rsid w:val="007F47FE"/>
    <w:rsid w:val="007F5503"/>
    <w:rsid w:val="007F7234"/>
    <w:rsid w:val="00801D86"/>
    <w:rsid w:val="00802ABE"/>
    <w:rsid w:val="008041F7"/>
    <w:rsid w:val="0080542B"/>
    <w:rsid w:val="00805701"/>
    <w:rsid w:val="00810CAE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4249C"/>
    <w:rsid w:val="0085163B"/>
    <w:rsid w:val="00851E1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7234"/>
    <w:rsid w:val="00880EAA"/>
    <w:rsid w:val="00882FC0"/>
    <w:rsid w:val="008837E7"/>
    <w:rsid w:val="008840BA"/>
    <w:rsid w:val="0088536B"/>
    <w:rsid w:val="0089687A"/>
    <w:rsid w:val="00896DE2"/>
    <w:rsid w:val="00897B59"/>
    <w:rsid w:val="008A07AA"/>
    <w:rsid w:val="008A09FE"/>
    <w:rsid w:val="008A300F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70AB"/>
    <w:rsid w:val="00940F5E"/>
    <w:rsid w:val="009429C3"/>
    <w:rsid w:val="009455D9"/>
    <w:rsid w:val="0095259E"/>
    <w:rsid w:val="009550E2"/>
    <w:rsid w:val="00955C05"/>
    <w:rsid w:val="00957E6A"/>
    <w:rsid w:val="0096012F"/>
    <w:rsid w:val="00962359"/>
    <w:rsid w:val="009647A4"/>
    <w:rsid w:val="00964897"/>
    <w:rsid w:val="00972493"/>
    <w:rsid w:val="00972B24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573D"/>
    <w:rsid w:val="009B704B"/>
    <w:rsid w:val="009B7A3B"/>
    <w:rsid w:val="009C2D4B"/>
    <w:rsid w:val="009C4974"/>
    <w:rsid w:val="009D1933"/>
    <w:rsid w:val="009D2449"/>
    <w:rsid w:val="009D41DB"/>
    <w:rsid w:val="009D47C2"/>
    <w:rsid w:val="009D58F6"/>
    <w:rsid w:val="009D640D"/>
    <w:rsid w:val="009D66AE"/>
    <w:rsid w:val="009D70A4"/>
    <w:rsid w:val="009D7F81"/>
    <w:rsid w:val="009E0B0B"/>
    <w:rsid w:val="009E2548"/>
    <w:rsid w:val="009F030F"/>
    <w:rsid w:val="009F03E8"/>
    <w:rsid w:val="009F3154"/>
    <w:rsid w:val="009F6D1B"/>
    <w:rsid w:val="009F7DCB"/>
    <w:rsid w:val="00A00B55"/>
    <w:rsid w:val="00A02439"/>
    <w:rsid w:val="00A0273C"/>
    <w:rsid w:val="00A04435"/>
    <w:rsid w:val="00A05286"/>
    <w:rsid w:val="00A05DFE"/>
    <w:rsid w:val="00A13324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60854"/>
    <w:rsid w:val="00A60CD8"/>
    <w:rsid w:val="00A62545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B608C"/>
    <w:rsid w:val="00AC20B1"/>
    <w:rsid w:val="00AD33B9"/>
    <w:rsid w:val="00AD4364"/>
    <w:rsid w:val="00AD4EEC"/>
    <w:rsid w:val="00AE2655"/>
    <w:rsid w:val="00AE7D14"/>
    <w:rsid w:val="00AF1D7A"/>
    <w:rsid w:val="00B030A0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5772"/>
    <w:rsid w:val="00B47F7E"/>
    <w:rsid w:val="00B52FF5"/>
    <w:rsid w:val="00B533FA"/>
    <w:rsid w:val="00B541A1"/>
    <w:rsid w:val="00B55D1A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7308"/>
    <w:rsid w:val="00B82FBF"/>
    <w:rsid w:val="00B839E7"/>
    <w:rsid w:val="00B84555"/>
    <w:rsid w:val="00B86CE9"/>
    <w:rsid w:val="00B9388C"/>
    <w:rsid w:val="00BA22DD"/>
    <w:rsid w:val="00BA2EA6"/>
    <w:rsid w:val="00BA31E4"/>
    <w:rsid w:val="00BA40AF"/>
    <w:rsid w:val="00BA4668"/>
    <w:rsid w:val="00BB262E"/>
    <w:rsid w:val="00BB29EB"/>
    <w:rsid w:val="00BB4239"/>
    <w:rsid w:val="00BB587E"/>
    <w:rsid w:val="00BB7231"/>
    <w:rsid w:val="00BC0183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A79"/>
    <w:rsid w:val="00BF5D60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563D"/>
    <w:rsid w:val="00C340BA"/>
    <w:rsid w:val="00C34A31"/>
    <w:rsid w:val="00C362B9"/>
    <w:rsid w:val="00C43112"/>
    <w:rsid w:val="00C4724E"/>
    <w:rsid w:val="00C472F0"/>
    <w:rsid w:val="00C47F55"/>
    <w:rsid w:val="00C47FB5"/>
    <w:rsid w:val="00C52250"/>
    <w:rsid w:val="00C5225A"/>
    <w:rsid w:val="00C53141"/>
    <w:rsid w:val="00C5458D"/>
    <w:rsid w:val="00C65A5A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B4A32"/>
    <w:rsid w:val="00CC457F"/>
    <w:rsid w:val="00CC56F1"/>
    <w:rsid w:val="00CC61FD"/>
    <w:rsid w:val="00CC71B0"/>
    <w:rsid w:val="00CD7B40"/>
    <w:rsid w:val="00CE1246"/>
    <w:rsid w:val="00CE2A9E"/>
    <w:rsid w:val="00CE2BDD"/>
    <w:rsid w:val="00CE54B2"/>
    <w:rsid w:val="00CE5AF9"/>
    <w:rsid w:val="00CE6F75"/>
    <w:rsid w:val="00CE7080"/>
    <w:rsid w:val="00CE775C"/>
    <w:rsid w:val="00CE7F03"/>
    <w:rsid w:val="00CF1763"/>
    <w:rsid w:val="00CF3FFB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611DA"/>
    <w:rsid w:val="00D61D1B"/>
    <w:rsid w:val="00D61D85"/>
    <w:rsid w:val="00D625F1"/>
    <w:rsid w:val="00D629B6"/>
    <w:rsid w:val="00D66015"/>
    <w:rsid w:val="00D73E4A"/>
    <w:rsid w:val="00D74E7B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3ECB"/>
    <w:rsid w:val="00DC4C27"/>
    <w:rsid w:val="00DC4E2F"/>
    <w:rsid w:val="00DC6867"/>
    <w:rsid w:val="00DC788C"/>
    <w:rsid w:val="00DD0B77"/>
    <w:rsid w:val="00DD2397"/>
    <w:rsid w:val="00DD245A"/>
    <w:rsid w:val="00DD3B41"/>
    <w:rsid w:val="00DD47C8"/>
    <w:rsid w:val="00DE2311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6A3B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70A8D"/>
    <w:rsid w:val="00E80DA0"/>
    <w:rsid w:val="00E815AD"/>
    <w:rsid w:val="00E831CE"/>
    <w:rsid w:val="00E846C2"/>
    <w:rsid w:val="00E85BA4"/>
    <w:rsid w:val="00E86AFC"/>
    <w:rsid w:val="00E92F62"/>
    <w:rsid w:val="00E95577"/>
    <w:rsid w:val="00E9655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7E"/>
    <w:rsid w:val="00EB61E5"/>
    <w:rsid w:val="00EB68EC"/>
    <w:rsid w:val="00EB7194"/>
    <w:rsid w:val="00EC1914"/>
    <w:rsid w:val="00EC4702"/>
    <w:rsid w:val="00ED4A3E"/>
    <w:rsid w:val="00ED6DE1"/>
    <w:rsid w:val="00ED7E10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23F2F"/>
    <w:rsid w:val="00F30519"/>
    <w:rsid w:val="00F30745"/>
    <w:rsid w:val="00F3355E"/>
    <w:rsid w:val="00F36873"/>
    <w:rsid w:val="00F3729D"/>
    <w:rsid w:val="00F448D5"/>
    <w:rsid w:val="00F44B06"/>
    <w:rsid w:val="00F44B4E"/>
    <w:rsid w:val="00F501D8"/>
    <w:rsid w:val="00F5175B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0A68"/>
    <w:rsid w:val="00F81204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4B91"/>
    <w:rsid w:val="00FA7C44"/>
    <w:rsid w:val="00FB050F"/>
    <w:rsid w:val="00FB0A2A"/>
    <w:rsid w:val="00FB2503"/>
    <w:rsid w:val="00FB6846"/>
    <w:rsid w:val="00FC1C90"/>
    <w:rsid w:val="00FC284B"/>
    <w:rsid w:val="00FC3069"/>
    <w:rsid w:val="00FC60C9"/>
    <w:rsid w:val="00FD30B0"/>
    <w:rsid w:val="00FD44C5"/>
    <w:rsid w:val="00FD66ED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D42FF6"/>
  <w15:docId w15:val="{5A6C5255-7403-417D-B2ED-3BF014AD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4"/>
    <w:semiHidden/>
    <w:rsid w:val="00B45772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ascii="Cambria" w:eastAsia="Arial Unicode MS" w:hAnsi="Cambria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ascii="Cambria" w:eastAsia="Arial Unicode MS" w:hAnsi="Cambria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rFonts w:ascii="Cambria" w:hAnsi="Cambria"/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ascii="Cambria" w:eastAsia="Arial Unicode MS" w:hAnsi="Cambria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rFonts w:ascii="Cambria" w:hAnsi="Cambria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rFonts w:ascii="Cambria" w:hAnsi="Cambria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rFonts w:ascii="Cambria" w:hAnsi="Cambria"/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uiPriority w:val="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 w:themeColor="accent1" w:themeShade="BF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basedOn w:val="DefaultParagraphFont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  <w:pPr>
      <w:numPr>
        <w:numId w:val="3"/>
      </w:numPr>
    </w:pPr>
  </w:style>
  <w:style w:type="paragraph" w:customStyle="1" w:styleId="ATABodyBulletLevel02">
    <w:name w:val="ATA Body Bullet Level 02"/>
    <w:basedOn w:val="ATABodyBulletLevel01"/>
    <w:link w:val="ATABodyBulletLevel02Char"/>
    <w:qFormat/>
    <w:rsid w:val="00FD30B0"/>
    <w:pPr>
      <w:spacing w:before="0"/>
      <w:ind w:left="734"/>
    </w:pPr>
    <w:rPr>
      <w:rFonts w:asciiTheme="majorHAnsi" w:hAnsiTheme="maj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paragraph" w:customStyle="1" w:styleId="ATAFacNoteLevel1">
    <w:name w:val="ATA Fac Note Level 1"/>
    <w:link w:val="ATAFacNoteLevel1Char"/>
    <w:rsid w:val="00476D74"/>
    <w:pPr>
      <w:numPr>
        <w:numId w:val="2"/>
      </w:numPr>
    </w:pPr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basedOn w:val="ATABodyBulletLevel01Char"/>
    <w:link w:val="ATABodyBulletLevel02"/>
    <w:rsid w:val="00FD30B0"/>
    <w:rPr>
      <w:rFonts w:asciiTheme="majorHAnsi" w:hAnsiTheme="majorHAnsi" w:cs="Arial"/>
      <w:sz w:val="24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link w:val="BasicParagraphChar"/>
    <w:uiPriority w:val="99"/>
    <w:rsid w:val="00C34A3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9220C"/>
    <w:rPr>
      <w:color w:val="000000"/>
      <w:sz w:val="24"/>
      <w:szCs w:val="24"/>
    </w:rPr>
  </w:style>
  <w:style w:type="character" w:customStyle="1" w:styleId="ATAFacNoteLevel1Char">
    <w:name w:val="ATA Fac Note Level 1 Char"/>
    <w:basedOn w:val="BasicParagraph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ATABody"/>
    <w:next w:val="ATABody"/>
    <w:link w:val="ATABodyBulletLevel01Char"/>
    <w:qFormat/>
    <w:rsid w:val="0085163B"/>
    <w:pPr>
      <w:numPr>
        <w:numId w:val="4"/>
      </w:numPr>
      <w:spacing w:before="120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85163B"/>
    <w:rPr>
      <w:rFonts w:ascii="Cambria" w:hAnsi="Cambria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styleId="BodyText">
    <w:name w:val="Body Text"/>
    <w:basedOn w:val="Normal"/>
    <w:link w:val="BodyTextChar"/>
    <w:rsid w:val="00B45772"/>
    <w:pPr>
      <w:spacing w:before="120"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B45772"/>
    <w:rPr>
      <w:sz w:val="24"/>
      <w:szCs w:val="24"/>
    </w:rPr>
  </w:style>
  <w:style w:type="paragraph" w:customStyle="1" w:styleId="BodyTextBullet1">
    <w:name w:val="Body Text Bullet 1"/>
    <w:basedOn w:val="BodyText"/>
    <w:rsid w:val="00B45772"/>
    <w:pPr>
      <w:numPr>
        <w:numId w:val="6"/>
      </w:numPr>
    </w:pPr>
  </w:style>
  <w:style w:type="paragraph" w:styleId="NoSpacing">
    <w:name w:val="No Spacing"/>
    <w:link w:val="NoSpacingChar"/>
    <w:uiPriority w:val="1"/>
    <w:qFormat/>
    <w:locked/>
    <w:rsid w:val="00E70A8D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70A8D"/>
    <w:rPr>
      <w:rFonts w:asciiTheme="minorHAnsi" w:eastAsiaTheme="minorEastAsia" w:hAnsiTheme="minorHAnsi" w:cstheme="minorBidi"/>
      <w:sz w:val="22"/>
      <w:szCs w:val="22"/>
    </w:rPr>
  </w:style>
  <w:style w:type="paragraph" w:customStyle="1" w:styleId="ATAFacNotebullet2">
    <w:name w:val="ATA Fac Note bullet 2"/>
    <w:basedOn w:val="Normal"/>
    <w:qFormat/>
    <w:rsid w:val="00E70A8D"/>
    <w:pPr>
      <w:numPr>
        <w:numId w:val="7"/>
      </w:numPr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semiHidden/>
    <w:unhideWhenUsed/>
    <w:rsid w:val="00B47F7E"/>
    <w:rPr>
      <w:color w:val="0000FF"/>
      <w:u w:val="single"/>
    </w:rPr>
  </w:style>
  <w:style w:type="paragraph" w:styleId="ListParagraph">
    <w:name w:val="List Paragraph"/>
    <w:basedOn w:val="Normal"/>
    <w:semiHidden/>
    <w:locked/>
    <w:rsid w:val="0089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ennett\AppData\Local\Temp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9D91D-DA57-4A2D-8D22-D2F57D1D5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45831-87F4-4DFD-A7E9-D263655E0E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b39b100-34c8-42a1-9ad6-b6ff7a1420fd"/>
    <ds:schemaRef ds:uri="67c3a874-3d5f-4ad1-9848-430308a359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1E5EE-70D4-4470-B44A-3FE3FA7E5F6E}"/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Initial Investigations</vt:lpstr>
    </vt:vector>
  </TitlesOfParts>
  <Company>Human Technology, Inc.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9: Conducting an Investigation</dc:title>
  <dc:subject/>
  <dc:creator>Tippett, Stephen H</dc:creator>
  <cp:keywords/>
  <cp:lastModifiedBy>Blackwell, Charita D</cp:lastModifiedBy>
  <cp:revision>20</cp:revision>
  <cp:lastPrinted>2012-04-27T21:10:00Z</cp:lastPrinted>
  <dcterms:created xsi:type="dcterms:W3CDTF">2020-09-14T21:02:00Z</dcterms:created>
  <dcterms:modified xsi:type="dcterms:W3CDTF">2023-03-24T23:11:00Z</dcterms:modified>
  <cp:category>Workbook 9.4: Crime Scene Functions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2022-09-09T04:40:27Z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40f18c97-fd30-49f5-993a-9abd7e1f81aa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false</vt:bool>
  </property>
  <property fmtid="{D5CDD505-2E9C-101B-9397-08002B2CF9AE}" pid="12" name="DateDue">
    <vt:filetime>2023-03-29T04:00:00Z</vt:filetime>
  </property>
</Properties>
</file>