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492EDD45" w:rsidR="00EE7DFC" w:rsidRPr="00644D00" w:rsidRDefault="00172CDA" w:rsidP="00E95493">
      <w:pPr>
        <w:pStyle w:val="ATAModuleTitle"/>
        <w:pBdr>
          <w:top w:val="single" w:sz="18" w:space="2" w:color="262626" w:themeColor="text1" w:themeTint="D9"/>
        </w:pBdr>
      </w:pPr>
      <w:r>
        <w:rPr>
          <w:noProof/>
        </w:rPr>
        <w:drawing>
          <wp:anchor distT="0" distB="0" distL="114300" distR="114300" simplePos="0" relativeHeight="251658240" behindDoc="0" locked="0" layoutInCell="1" allowOverlap="1" wp14:anchorId="10F0D8F2" wp14:editId="79DA7617">
            <wp:simplePos x="0" y="0"/>
            <wp:positionH relativeFrom="column">
              <wp:posOffset>5638800</wp:posOffset>
            </wp:positionH>
            <wp:positionV relativeFrom="paragraph">
              <wp:posOffset>9525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Guide pratique 8.4 : Exemples d'activit</w:t>
      </w:r>
      <w:r w:rsidR="00AF5085">
        <w:t>É</w:t>
      </w:r>
      <w:r>
        <w:t>s suspectes</w:t>
      </w:r>
    </w:p>
    <w:p w14:paraId="587CFD83" w14:textId="0F110B8F" w:rsidR="00590B84" w:rsidRPr="00B45D07" w:rsidRDefault="0093647F" w:rsidP="003D4F12">
      <w:pPr>
        <w:pStyle w:val="ATABody"/>
        <w:spacing w:before="120"/>
      </w:pPr>
      <w:r>
        <w:t>Les activités figurant ci-dessous ont été classées comme suspectes par diverses banques à titre d’alerte indiquant qu'un client (un particulier ou un entreprise) a peut-être effectué une transaction justifiant de mener une enquête ou de demander des informations supplémentaires. Une alerte pour activité suspecte fournit aux forces de l’ordre une raison suffisante d'enquêter sur le client et la transaction en question pour déterminer si celle-ci dissimule des activités criminelles.</w:t>
      </w:r>
    </w:p>
    <w:p w14:paraId="14131864" w14:textId="77777777" w:rsidR="00590B84" w:rsidRPr="00B45D07" w:rsidRDefault="00590B84" w:rsidP="00FC590C">
      <w:pPr>
        <w:pStyle w:val="ATABody"/>
      </w:pPr>
    </w:p>
    <w:tbl>
      <w:tblPr>
        <w:tblStyle w:val="TableGrid"/>
        <w:tblW w:w="0" w:type="auto"/>
        <w:tblLook w:val="04A0" w:firstRow="1" w:lastRow="0" w:firstColumn="1" w:lastColumn="0" w:noHBand="0" w:noVBand="1"/>
      </w:tblPr>
      <w:tblGrid>
        <w:gridCol w:w="2506"/>
        <w:gridCol w:w="6844"/>
      </w:tblGrid>
      <w:tr w:rsidR="00B63B6B" w:rsidRPr="00B45D07" w14:paraId="0D43EA29" w14:textId="77777777" w:rsidTr="00562F7D">
        <w:tc>
          <w:tcPr>
            <w:tcW w:w="2538" w:type="dxa"/>
            <w:shd w:val="clear" w:color="auto" w:fill="BFBFBF" w:themeFill="background1" w:themeFillShade="BF"/>
          </w:tcPr>
          <w:p w14:paraId="5B6325CF" w14:textId="1D78A6C5" w:rsidR="00B63B6B" w:rsidRPr="00B45D07" w:rsidRDefault="00B63B6B" w:rsidP="0093647F">
            <w:pPr>
              <w:spacing w:before="60" w:after="60"/>
              <w:rPr>
                <w:rFonts w:asciiTheme="majorHAnsi" w:hAnsiTheme="majorHAnsi" w:cs="Arial"/>
                <w:b/>
              </w:rPr>
            </w:pPr>
            <w:r>
              <w:rPr>
                <w:rFonts w:asciiTheme="majorHAnsi" w:hAnsiTheme="majorHAnsi"/>
                <w:b/>
              </w:rPr>
              <w:t>Signe indicateur</w:t>
            </w:r>
          </w:p>
        </w:tc>
        <w:tc>
          <w:tcPr>
            <w:tcW w:w="7038" w:type="dxa"/>
            <w:shd w:val="clear" w:color="auto" w:fill="BFBFBF" w:themeFill="background1" w:themeFillShade="BF"/>
          </w:tcPr>
          <w:p w14:paraId="05AE5D74" w14:textId="603C3FCF" w:rsidR="00B63B6B" w:rsidRPr="00B45D07" w:rsidRDefault="00B63B6B" w:rsidP="0093647F">
            <w:pPr>
              <w:spacing w:before="60" w:after="60"/>
              <w:rPr>
                <w:rFonts w:asciiTheme="majorHAnsi" w:hAnsiTheme="majorHAnsi" w:cs="Arial"/>
                <w:b/>
              </w:rPr>
            </w:pPr>
            <w:r>
              <w:rPr>
                <w:rFonts w:asciiTheme="majorHAnsi" w:hAnsiTheme="majorHAnsi"/>
                <w:b/>
              </w:rPr>
              <w:t>Exemples d'activités suspectes</w:t>
            </w:r>
          </w:p>
        </w:tc>
      </w:tr>
      <w:tr w:rsidR="00B63B6B" w:rsidRPr="00B45D07" w14:paraId="7E8E43E9" w14:textId="77777777" w:rsidTr="00562F7D">
        <w:tc>
          <w:tcPr>
            <w:tcW w:w="2538" w:type="dxa"/>
          </w:tcPr>
          <w:p w14:paraId="017AD129" w14:textId="5E364219" w:rsidR="00B63B6B" w:rsidRPr="00B45D07" w:rsidRDefault="00074389" w:rsidP="0093647F">
            <w:pPr>
              <w:pStyle w:val="ATABodyFacSlideNumLevel01"/>
              <w:numPr>
                <w:ilvl w:val="0"/>
                <w:numId w:val="0"/>
              </w:numPr>
              <w:ind w:left="72"/>
            </w:pPr>
            <w:r>
              <w:t>Activités qui ne concorde pas avec l'activité du client</w:t>
            </w:r>
          </w:p>
        </w:tc>
        <w:tc>
          <w:tcPr>
            <w:tcW w:w="7038" w:type="dxa"/>
          </w:tcPr>
          <w:p w14:paraId="5704E5B0" w14:textId="2F21C1FF" w:rsidR="00B63B6B" w:rsidRPr="00B45D07" w:rsidRDefault="00074389" w:rsidP="00074389">
            <w:pPr>
              <w:pStyle w:val="ATABodyFacSlideBulletLevel01"/>
            </w:pPr>
            <w:r>
              <w:t>Un client ouvre plusieurs comptes d'affaires et transfère fréquemment des fonds entre ces comptes.</w:t>
            </w:r>
          </w:p>
          <w:p w14:paraId="4EEADA0D" w14:textId="77777777" w:rsidR="00074389" w:rsidRPr="00B45D07" w:rsidRDefault="00074389" w:rsidP="00074389">
            <w:pPr>
              <w:pStyle w:val="ATABodyFacSlideBulletLevel01"/>
            </w:pPr>
            <w:r>
              <w:t xml:space="preserve">Un client dépose ou retire des fonds principalement en espèces plutôt qu’avec des chèques. </w:t>
            </w:r>
          </w:p>
          <w:p w14:paraId="22BC0994" w14:textId="7A910F71" w:rsidR="00074389" w:rsidRPr="00B45D07" w:rsidRDefault="00074389" w:rsidP="00074389">
            <w:pPr>
              <w:pStyle w:val="ATABodyFacSlideBulletLevel01"/>
            </w:pPr>
            <w:r>
              <w:t>Le propriétaire d'un commerce ou d'un service d'encaissement de chèques ne demande pas d'espèces lorsqu’il dépose des chèques, ce qui indique qu’il a accès à d'autres sources d'argent liquide.</w:t>
            </w:r>
          </w:p>
          <w:p w14:paraId="22C838FA" w14:textId="58420745" w:rsidR="00074389" w:rsidRPr="00B45D07" w:rsidRDefault="00074389" w:rsidP="00074389">
            <w:pPr>
              <w:pStyle w:val="ATABodyFacSlideBulletLevel01"/>
            </w:pPr>
            <w:r>
              <w:t>Un client manifeste une activité inhabituelle en achetant en espèces des chèques de voyage, des mandats ou des chèques de banque.</w:t>
            </w:r>
          </w:p>
          <w:p w14:paraId="763E89DC" w14:textId="2945409A" w:rsidR="00074389" w:rsidRPr="00B45D07" w:rsidRDefault="00074389" w:rsidP="00074389">
            <w:pPr>
              <w:pStyle w:val="ATABodyFacSlideBulletLevel01"/>
            </w:pPr>
            <w:r>
              <w:t>Un client dépose une grande quantité d'argent sous forme de chèques, de mandats ou de virements sur un compte qui ne semble pas justifier une telle activité.</w:t>
            </w:r>
          </w:p>
          <w:p w14:paraId="583BC238" w14:textId="693A8272" w:rsidR="00074389" w:rsidRPr="00B45D07" w:rsidRDefault="00074389" w:rsidP="00074389">
            <w:pPr>
              <w:pStyle w:val="ATABodyFacSlideBulletLevel01"/>
            </w:pPr>
            <w:r>
              <w:t xml:space="preserve">Un client effectue régulièrement d'importantes transactions en espèces (dépôts, retraits ou achats d'instruments monétaires) pour une société qui ne traite généralement pas de grandes quantités d'espèces, sans expliquer comment elles seront employées. </w:t>
            </w:r>
          </w:p>
          <w:p w14:paraId="0796BD95" w14:textId="64178AE0" w:rsidR="00074389" w:rsidRPr="00B45D07" w:rsidRDefault="00074389" w:rsidP="00074389">
            <w:pPr>
              <w:pStyle w:val="ATABodyFacSlideBulletLevel01"/>
            </w:pPr>
            <w:r>
              <w:t>L’historique du compte d’affaires d’un client indique que celui-ci effectue peu ou pas d'activités régulières ou récurrentes, quand soudain il dépose une grande quantité d'argent puis effectue de nombreux virements ou décaissements.</w:t>
            </w:r>
          </w:p>
          <w:p w14:paraId="3CF3AB6F" w14:textId="77777777" w:rsidR="00074389" w:rsidRPr="00B45D07" w:rsidRDefault="00074389" w:rsidP="00074389">
            <w:pPr>
              <w:pStyle w:val="ATABodyFacSlideBulletLevel01"/>
            </w:pPr>
            <w:r>
              <w:t>Le domicile ou lieu d'affaires du client est hors de la zone de service de l'institution financière.</w:t>
            </w:r>
          </w:p>
          <w:p w14:paraId="6B04A4E7" w14:textId="60CC28C3" w:rsidR="00074389" w:rsidRPr="00B45D07" w:rsidRDefault="00074389" w:rsidP="00074389">
            <w:pPr>
              <w:pStyle w:val="ATABodyFacSlideBulletLevel01"/>
            </w:pPr>
            <w:r>
              <w:t>Une société cliente dépose fréquemment de grandes quantités d'espèces et maintient un solde élevé, mais n’utilise aucun autre service bancaire.</w:t>
            </w:r>
          </w:p>
          <w:p w14:paraId="2C371B1E" w14:textId="57103D6E" w:rsidR="00074389" w:rsidRPr="00B45D07" w:rsidRDefault="00074389" w:rsidP="00074389">
            <w:pPr>
              <w:pStyle w:val="ATABodyFacSlideBulletLevel01"/>
            </w:pPr>
            <w:r>
              <w:t>Un commerce dépose régulièrement des chèques, mais effectue rarement des retraits en espèces pour ses activités quotidiennes.</w:t>
            </w:r>
          </w:p>
          <w:p w14:paraId="591828A3" w14:textId="1344B25C" w:rsidR="00074389" w:rsidRPr="00B45D07" w:rsidRDefault="00074389" w:rsidP="00074389">
            <w:pPr>
              <w:pStyle w:val="ATABodyFacSlideBulletLevel01"/>
            </w:pPr>
            <w:r>
              <w:lastRenderedPageBreak/>
              <w:t>Un commerce effectue des dépôts en espèces qui varient considérablement des dépôts effectués par les autres commerces comparables de la région.</w:t>
            </w:r>
          </w:p>
          <w:p w14:paraId="0EDBCDC9" w14:textId="77777777" w:rsidR="00074389" w:rsidRPr="00B45D07" w:rsidRDefault="00074389" w:rsidP="00074389">
            <w:pPr>
              <w:pStyle w:val="ATABodyFacSlideBulletLevel01"/>
            </w:pPr>
            <w:r>
              <w:t>Les habitudes en matière d'opérations de dépôt d'une société changent soudainement.</w:t>
            </w:r>
          </w:p>
          <w:p w14:paraId="21723FF5" w14:textId="77777777" w:rsidR="00074389" w:rsidRPr="00B45D07" w:rsidRDefault="00074389" w:rsidP="00074389">
            <w:pPr>
              <w:pStyle w:val="ATABodyFacSlideBulletLevel01"/>
            </w:pPr>
            <w:r>
              <w:t>Le montant et la fréquence des dépôts en espèces ne correspondent pas aux activités observées sur le site du client.</w:t>
            </w:r>
          </w:p>
          <w:p w14:paraId="370C6CBA" w14:textId="3B4E0E75" w:rsidR="00074389" w:rsidRPr="00B45D07" w:rsidRDefault="00074389" w:rsidP="00074389">
            <w:pPr>
              <w:pStyle w:val="ATABodyFacSlideBulletLevel01"/>
            </w:pPr>
            <w:r>
              <w:t xml:space="preserve">Une société qui ne génère pas de monnaie se met à effectuer des opérations monétaires. </w:t>
            </w:r>
          </w:p>
          <w:p w14:paraId="72B3E36C" w14:textId="09A12AF2" w:rsidR="00074389" w:rsidRPr="00B45D07" w:rsidRDefault="00074389" w:rsidP="00074389">
            <w:pPr>
              <w:pStyle w:val="ATABodyFacSlideBulletLevel01"/>
            </w:pPr>
            <w:r>
              <w:t>Les transactions financières impliquant des virements, des mandats ou des traites bancaires sont incomplètes ou semblent indiquer que les bénéficiaires ou remettants sont fictifs.</w:t>
            </w:r>
          </w:p>
          <w:p w14:paraId="7A28ADDA" w14:textId="06F93114" w:rsidR="00074389" w:rsidRPr="00B45D07" w:rsidRDefault="00074389" w:rsidP="00074389">
            <w:pPr>
              <w:pStyle w:val="ATABodyFacSlideBulletLevel01"/>
            </w:pPr>
            <w:r>
              <w:t>Un transfert de fonds entre des comptes liés ou impliquant le même mandant ou des mandants liés.</w:t>
            </w:r>
          </w:p>
          <w:p w14:paraId="5FB6B017" w14:textId="20DC715B" w:rsidR="00074389" w:rsidRPr="00B45D07" w:rsidRDefault="00074389" w:rsidP="0093647F">
            <w:pPr>
              <w:pStyle w:val="ATABodyFacSlideBulletLevel01"/>
              <w:spacing w:after="60"/>
            </w:pPr>
            <w:r>
              <w:t>Un commerçant qui effectue plusieurs dépôts dans différentes agences bancaires.</w:t>
            </w:r>
          </w:p>
        </w:tc>
      </w:tr>
      <w:tr w:rsidR="00B63B6B" w:rsidRPr="00B45D07" w14:paraId="1F00C67A" w14:textId="77777777" w:rsidTr="00562F7D">
        <w:tc>
          <w:tcPr>
            <w:tcW w:w="2538" w:type="dxa"/>
          </w:tcPr>
          <w:p w14:paraId="32D039FB" w14:textId="54ECB054" w:rsidR="00B63B6B" w:rsidRPr="00B45D07" w:rsidRDefault="005047AE" w:rsidP="0093647F">
            <w:pPr>
              <w:pStyle w:val="ATABodyFacSlideNumLevel01"/>
              <w:numPr>
                <w:ilvl w:val="0"/>
                <w:numId w:val="0"/>
              </w:numPr>
              <w:ind w:left="72"/>
            </w:pPr>
            <w:r>
              <w:lastRenderedPageBreak/>
              <w:t>Clients qui ne respectent pas les exigences en matière de rapports ou de tenue de dossiers</w:t>
            </w:r>
          </w:p>
        </w:tc>
        <w:tc>
          <w:tcPr>
            <w:tcW w:w="7038" w:type="dxa"/>
          </w:tcPr>
          <w:p w14:paraId="2875E45F" w14:textId="3D36B40C" w:rsidR="005047AE" w:rsidRPr="00B45D07" w:rsidRDefault="005047AE" w:rsidP="005047AE">
            <w:pPr>
              <w:pStyle w:val="ATABodyFacSlideBulletLevel01"/>
            </w:pPr>
            <w:r>
              <w:t>Une société ou un nouveau client demande à être dispensé des formalités administratives de routine ou des formulaires comptables.</w:t>
            </w:r>
          </w:p>
          <w:p w14:paraId="4DC6EB2D" w14:textId="635B9827" w:rsidR="005047AE" w:rsidRPr="00B45D07" w:rsidRDefault="005047AE" w:rsidP="005047AE">
            <w:pPr>
              <w:pStyle w:val="ATABodyFacSlideBulletLevel01"/>
            </w:pPr>
            <w:r>
              <w:t>Un client retient sciemment une partie d'un dépôt de monnaie ou d'un retrait d'argent qu’il effectue afin d’éviter que la transaction ne paraisse suspecte.</w:t>
            </w:r>
          </w:p>
          <w:p w14:paraId="6338EEF1" w14:textId="77777777" w:rsidR="005047AE" w:rsidRPr="00B45D07" w:rsidRDefault="005047AE" w:rsidP="005047AE">
            <w:pPr>
              <w:pStyle w:val="ATABodyFacSlideBulletLevel01"/>
            </w:pPr>
            <w:r>
              <w:t>Un client renâcle à fournir les informations nécessaires pour remplir les formalités administratives ou les formulaires comptables.</w:t>
            </w:r>
          </w:p>
          <w:p w14:paraId="1A338C56" w14:textId="42E46F33" w:rsidR="005047AE" w:rsidRPr="00B45D07" w:rsidRDefault="005047AE" w:rsidP="005047AE">
            <w:pPr>
              <w:pStyle w:val="ATABodyFacSlideBulletLevel01"/>
            </w:pPr>
            <w:r>
              <w:t>Un client tente de contraindre un employé à ne pas remplir une déclaration ou un formulaire de tenue de dossiers obligatoire.</w:t>
            </w:r>
          </w:p>
          <w:p w14:paraId="469B9197" w14:textId="77777777" w:rsidR="005047AE" w:rsidRPr="00B45D07" w:rsidRDefault="005047AE" w:rsidP="005047AE">
            <w:pPr>
              <w:pStyle w:val="ATABodyFacSlideBulletLevel01"/>
            </w:pPr>
            <w:r>
              <w:t>Un client dépose dans plusieurs distributeurs automatiques des sommes d'argent ne dépassant pas un seuil déterminé.</w:t>
            </w:r>
          </w:p>
          <w:p w14:paraId="794D213B" w14:textId="592D193B" w:rsidR="00B63B6B" w:rsidRPr="00B45D07" w:rsidRDefault="005047AE" w:rsidP="007B33FE">
            <w:pPr>
              <w:pStyle w:val="ATABodyFacSlideBulletLevel01"/>
              <w:spacing w:after="60"/>
            </w:pPr>
            <w:r>
              <w:t>Un client renâcle à présenter sa pièce d'identité lorsqu’il fait l’achat de titres négociables d’un montant important.</w:t>
            </w:r>
          </w:p>
        </w:tc>
      </w:tr>
      <w:tr w:rsidR="00B63B6B" w:rsidRPr="00B45D07" w14:paraId="6ADF5864" w14:textId="77777777" w:rsidTr="00562F7D">
        <w:tc>
          <w:tcPr>
            <w:tcW w:w="2538" w:type="dxa"/>
          </w:tcPr>
          <w:p w14:paraId="7BCAFB7A" w14:textId="4F95B54D" w:rsidR="00B63B6B" w:rsidRPr="00B45D07" w:rsidRDefault="007C6BD9" w:rsidP="0093647F">
            <w:pPr>
              <w:pStyle w:val="ATABodyFacSlideNumLevel01"/>
              <w:numPr>
                <w:ilvl w:val="0"/>
                <w:numId w:val="0"/>
              </w:numPr>
              <w:ind w:left="72"/>
            </w:pPr>
            <w:r>
              <w:t>Virements bancaires suspects</w:t>
            </w:r>
          </w:p>
        </w:tc>
        <w:tc>
          <w:tcPr>
            <w:tcW w:w="7038" w:type="dxa"/>
          </w:tcPr>
          <w:p w14:paraId="7E2FAC74" w14:textId="70BA73BE" w:rsidR="007C6BD9" w:rsidRPr="00B45D07" w:rsidRDefault="007C6BD9" w:rsidP="007C6BD9">
            <w:pPr>
              <w:pStyle w:val="ATABodyFacSlideBulletLevel01"/>
            </w:pPr>
            <w:r>
              <w:t xml:space="preserve">Des virements à destination ou en provenance de pays connus pour être des paradis du secret bancaire ; des virements sans motif commercial logique ou qui ne concordent pas avec l'activité du client. </w:t>
            </w:r>
          </w:p>
          <w:p w14:paraId="05F7E9BC" w14:textId="77777777" w:rsidR="007C6BD9" w:rsidRPr="00B45D07" w:rsidRDefault="007C6BD9" w:rsidP="007C6BD9">
            <w:pPr>
              <w:pStyle w:val="ATABodyFacSlideBulletLevel01"/>
            </w:pPr>
            <w:r>
              <w:t>Des virements réguliers provenant d'un compte personnel à destination d’un pays connu pour être un paradis du secret bancaire.</w:t>
            </w:r>
          </w:p>
          <w:p w14:paraId="12CE9410" w14:textId="77777777" w:rsidR="007C6BD9" w:rsidRPr="00B45D07" w:rsidRDefault="007C6BD9" w:rsidP="007C6BD9">
            <w:pPr>
              <w:pStyle w:val="ATABodyFacSlideBulletLevel01"/>
            </w:pPr>
            <w:r>
              <w:t>Des virements entrants de sommes importantes pour le compte d'un client étranger, sans raison explicite.</w:t>
            </w:r>
          </w:p>
          <w:p w14:paraId="1A12D739" w14:textId="4A938CBD" w:rsidR="007C6BD9" w:rsidRPr="00B45D07" w:rsidRDefault="007C6BD9" w:rsidP="007C6BD9">
            <w:pPr>
              <w:pStyle w:val="ATABodyFacSlideBulletLevel01"/>
            </w:pPr>
            <w:r>
              <w:t>Des virements fréquents ou de montants élevés envoyés à des centres bancaires offshore ou provenant de ceux-ci.</w:t>
            </w:r>
          </w:p>
          <w:p w14:paraId="5FD75C07" w14:textId="6FFBD9E2" w:rsidR="007C6BD9" w:rsidRPr="00B45D07" w:rsidRDefault="007C6BD9" w:rsidP="007C6BD9">
            <w:pPr>
              <w:pStyle w:val="ATABodyFacSlideBulletLevel01"/>
            </w:pPr>
            <w:r>
              <w:lastRenderedPageBreak/>
              <w:t>Des sommes d'argent importantes et rondes (100 000 USD, 50 000 GBP, etc.).</w:t>
            </w:r>
          </w:p>
          <w:p w14:paraId="63F26CD4" w14:textId="59DC83F7" w:rsidR="007C6BD9" w:rsidRPr="00B45D07" w:rsidRDefault="007C6BD9" w:rsidP="007C6BD9">
            <w:pPr>
              <w:pStyle w:val="ATABodyFacSlideBulletLevel01"/>
            </w:pPr>
            <w:r>
              <w:t>Des virements en provenance ou à destination d’un compte effectués dans la même journée ou dans un court laps de temps.</w:t>
            </w:r>
          </w:p>
          <w:p w14:paraId="6645FD9F" w14:textId="2BE2A080" w:rsidR="007C6BD9" w:rsidRPr="00B45D07" w:rsidRDefault="007C6BD9" w:rsidP="007C6BD9">
            <w:pPr>
              <w:pStyle w:val="ATABodyFacSlideBulletLevel01"/>
            </w:pPr>
            <w:r>
              <w:t>Des paiements effectués ou reçus sans lien apparent avec un contrat, des biens ou des services légitimes.</w:t>
            </w:r>
          </w:p>
          <w:p w14:paraId="261F993A" w14:textId="77777777" w:rsidR="007C6BD9" w:rsidRPr="00B45D07" w:rsidRDefault="007C6BD9" w:rsidP="007C6BD9">
            <w:pPr>
              <w:pStyle w:val="ATABodyFacSlideBulletLevel01"/>
            </w:pPr>
            <w:r>
              <w:t>Des transferts acheminés par plusieurs banques étrangères ou nationales.</w:t>
            </w:r>
          </w:p>
          <w:p w14:paraId="2545FF18" w14:textId="77777777" w:rsidR="007C6BD9" w:rsidRPr="00B45D07" w:rsidRDefault="007C6BD9" w:rsidP="007C6BD9">
            <w:pPr>
              <w:pStyle w:val="ATABodyFacSlideBulletLevel01"/>
            </w:pPr>
            <w:r>
              <w:t>Des activités répétitives ou inhabituelles inexpliquées.</w:t>
            </w:r>
          </w:p>
          <w:p w14:paraId="0957F7F7" w14:textId="070C90A9" w:rsidR="007C6BD9" w:rsidRPr="00B45D07" w:rsidRDefault="007C6BD9" w:rsidP="007C6BD9">
            <w:pPr>
              <w:pStyle w:val="ATABodyFacSlideBulletLevel01"/>
            </w:pPr>
            <w:r>
              <w:t>Des fonds déposés sur plusieurs comptes – généralement des petits montants – qui sont ensuite regroupés sur un compte principal, puis transférés hors du pays.</w:t>
            </w:r>
          </w:p>
          <w:p w14:paraId="0ED073B5" w14:textId="77777777" w:rsidR="007C6BD9" w:rsidRPr="00B45D07" w:rsidRDefault="007C6BD9" w:rsidP="007C6BD9">
            <w:pPr>
              <w:pStyle w:val="ATABodyFacSlideBulletLevel01"/>
            </w:pPr>
            <w:r>
              <w:t>Un client qui demande à une institution financière de transférer des fonds à l'étranger et qui lui dit de s’attendre à recevoir un virement d’un montant approximatif provenant d'autres sources.</w:t>
            </w:r>
          </w:p>
          <w:p w14:paraId="6DF3AA56" w14:textId="06F702CD" w:rsidR="007C6BD9" w:rsidRPr="00B45D07" w:rsidRDefault="007C6BD9" w:rsidP="007C6BD9">
            <w:pPr>
              <w:pStyle w:val="ATABodyFacSlideBulletLevel01"/>
            </w:pPr>
            <w:r>
              <w:t>Des dépôts ou retraits réguliers d'importantes sommes en espèces, au moyen de virements à destination, en provenance ou à travers des pays connus pour être des sources de stupéfiants ou d’activités terroristes et dont les lois bancaires sont insuffisantes ou rarement appliquées.</w:t>
            </w:r>
          </w:p>
          <w:p w14:paraId="37DA9F4D" w14:textId="0B99E9C3" w:rsidR="007C6BD9" w:rsidRPr="00B45D07" w:rsidRDefault="007C6BD9" w:rsidP="0093647F">
            <w:pPr>
              <w:pStyle w:val="ATABodyFacSlideBulletLevel01"/>
              <w:keepNext/>
              <w:keepLines/>
              <w:ind w:left="346"/>
            </w:pPr>
            <w:r>
              <w:t xml:space="preserve">Un client qui reçoit de nombreux petits virements, puis transfère la plupart ou la totalité de ces sommes dans une autre ville ou un autre pays, d'une manière qui ne concorde pas avec l'activité du client. </w:t>
            </w:r>
          </w:p>
          <w:p w14:paraId="351E6A43" w14:textId="591E22C4" w:rsidR="00B63B6B" w:rsidRPr="00B45D07" w:rsidRDefault="007C6BD9" w:rsidP="008B4C71">
            <w:pPr>
              <w:pStyle w:val="ATABodyFacSlideBulletLevel01"/>
              <w:spacing w:after="60"/>
            </w:pPr>
            <w:r>
              <w:t>Un grand nombre de virements provenant de personnes ou de sociétés qui ne possèdent pas de comptes.</w:t>
            </w:r>
          </w:p>
        </w:tc>
      </w:tr>
      <w:tr w:rsidR="00B63B6B" w:rsidRPr="00B45D07" w14:paraId="757444EE" w14:textId="77777777" w:rsidTr="00562F7D">
        <w:tc>
          <w:tcPr>
            <w:tcW w:w="2538" w:type="dxa"/>
          </w:tcPr>
          <w:p w14:paraId="154EDC2F" w14:textId="52DB7A23" w:rsidR="00B63B6B" w:rsidRPr="00B45D07" w:rsidRDefault="007C6BD9" w:rsidP="0093647F">
            <w:pPr>
              <w:pStyle w:val="ATABodyFacSlideNumLevel01"/>
              <w:numPr>
                <w:ilvl w:val="0"/>
                <w:numId w:val="0"/>
              </w:numPr>
              <w:ind w:left="72"/>
            </w:pPr>
            <w:r>
              <w:lastRenderedPageBreak/>
              <w:t>Clients qui fournissent des informations insuffisantes ou suspectes</w:t>
            </w:r>
          </w:p>
        </w:tc>
        <w:tc>
          <w:tcPr>
            <w:tcW w:w="7038" w:type="dxa"/>
          </w:tcPr>
          <w:p w14:paraId="5FB64CC2" w14:textId="5E80DEF9" w:rsidR="007C6BD9" w:rsidRPr="00B45D07" w:rsidRDefault="007C6BD9" w:rsidP="00A9113D">
            <w:pPr>
              <w:pStyle w:val="ATABodyFacSlideBulletLevel01"/>
              <w:numPr>
                <w:ilvl w:val="0"/>
                <w:numId w:val="0"/>
              </w:numPr>
              <w:ind w:left="342"/>
            </w:pPr>
            <w:r>
              <w:t xml:space="preserve">Une personne souhaitant ouvrir un compte d'affaires qui renâcle à fournir suffisamment d’informations concernant l’objet de son activité, ses relations bancaires antérieures, les noms de ses dirigeants et de ses propriétaires et le lieu d’implantation de la société. </w:t>
            </w:r>
          </w:p>
          <w:p w14:paraId="6FAB902E" w14:textId="77777777" w:rsidR="007C6BD9" w:rsidRPr="00B45D07" w:rsidRDefault="007C6BD9" w:rsidP="007C6BD9">
            <w:pPr>
              <w:pStyle w:val="ATABodyFacSlideBulletLevel01"/>
            </w:pPr>
            <w:r>
              <w:t>Un client qui refuse de fournir les informations habituellement nécessaires pour obtenir un crédit ou accéder à autres services bancaires.</w:t>
            </w:r>
          </w:p>
          <w:p w14:paraId="23C72F85" w14:textId="77777777" w:rsidR="007C6BD9" w:rsidRPr="00B45D07" w:rsidRDefault="007C6BD9" w:rsidP="007C6BD9">
            <w:pPr>
              <w:pStyle w:val="ATABodyFacSlideBulletLevel01"/>
            </w:pPr>
            <w:r>
              <w:t>Un niveau d'activité inhabituel sur le compte d’un client.</w:t>
            </w:r>
          </w:p>
          <w:p w14:paraId="2B76D011" w14:textId="3AE38B5A" w:rsidR="007C6BD9" w:rsidRPr="00B45D07" w:rsidRDefault="007C6BD9" w:rsidP="007C6BD9">
            <w:pPr>
              <w:pStyle w:val="ATABodyFacSlideBulletLevel01"/>
            </w:pPr>
            <w:r>
              <w:t xml:space="preserve">Un client qui veut ouvrir un compte sans fournir de références ni d’adresse locale ou qui présente une pièce d'identité suspecte. </w:t>
            </w:r>
          </w:p>
          <w:p w14:paraId="0818F259" w14:textId="77777777" w:rsidR="007C6BD9" w:rsidRPr="00B45D07" w:rsidRDefault="007C6BD9" w:rsidP="007C6BD9">
            <w:pPr>
              <w:pStyle w:val="ATABodyFacSlideBulletLevel01"/>
            </w:pPr>
            <w:r>
              <w:t xml:space="preserve">Un client qui refuse de fournir les informations demandées par l'institution financière pour l’ouverture d’un compte. </w:t>
            </w:r>
          </w:p>
          <w:p w14:paraId="4015EF76" w14:textId="35EF97A6" w:rsidR="007C6BD9" w:rsidRPr="00B45D07" w:rsidRDefault="004C7886" w:rsidP="007C6BD9">
            <w:pPr>
              <w:pStyle w:val="ATABodyFacSlideBulletLevel01"/>
            </w:pPr>
            <w:r>
              <w:t>Un client qui fournit des documents d'identification inhabituels dont authenticité peut être difficilement confirmée par l'institution financière.</w:t>
            </w:r>
          </w:p>
          <w:p w14:paraId="24906560" w14:textId="58850DA4" w:rsidR="007C6BD9" w:rsidRPr="00B45D07" w:rsidRDefault="009F29B6" w:rsidP="007C6BD9">
            <w:pPr>
              <w:pStyle w:val="ATABodyFacSlideBulletLevel01"/>
            </w:pPr>
            <w:r>
              <w:lastRenderedPageBreak/>
              <w:t>Le téléphone du domicile ou de l’entreprise d’un client est coupé.</w:t>
            </w:r>
          </w:p>
          <w:p w14:paraId="528DCFBE" w14:textId="77777777" w:rsidR="007C6BD9" w:rsidRPr="00B45D07" w:rsidRDefault="007C6BD9" w:rsidP="007C6BD9">
            <w:pPr>
              <w:pStyle w:val="ATABodyFacSlideBulletLevel01"/>
            </w:pPr>
            <w:r>
              <w:t>Une demande de prêt sur laquelle ne figurent aucuns antécédents professionnels ni emploi actuel.</w:t>
            </w:r>
          </w:p>
          <w:p w14:paraId="25678AE2" w14:textId="4665E0B3" w:rsidR="007C6BD9" w:rsidRPr="00B45D07" w:rsidRDefault="007C6BD9" w:rsidP="007C6BD9">
            <w:pPr>
              <w:pStyle w:val="ATABodyFacSlideBulletLevel01"/>
            </w:pPr>
            <w:r>
              <w:t>Un client sans réelle expérience professionnelle qui effectue des transactions fréquentes ou importantes.</w:t>
            </w:r>
          </w:p>
          <w:p w14:paraId="1047D84C" w14:textId="0D97B48B" w:rsidR="007C6BD9" w:rsidRPr="00B45D07" w:rsidRDefault="007C6BD9" w:rsidP="007C6BD9">
            <w:pPr>
              <w:pStyle w:val="ATABodyFacSlideBulletLevel01"/>
            </w:pPr>
            <w:r>
              <w:t>Les antécédents du client ne concordent pas avec les activités de sa société.</w:t>
            </w:r>
          </w:p>
          <w:p w14:paraId="0D61A143" w14:textId="2F418712" w:rsidR="00B63B6B" w:rsidRPr="00B45D07" w:rsidRDefault="007C6BD9" w:rsidP="008B4C71">
            <w:pPr>
              <w:pStyle w:val="ATABodyFacSlideBulletLevel01"/>
              <w:spacing w:after="60"/>
            </w:pPr>
            <w:r>
              <w:t>Les états financiers et l'activité du compte d’une société cliente diffèrent de ceux des sociétés similaires dans la région.</w:t>
            </w:r>
          </w:p>
        </w:tc>
      </w:tr>
      <w:tr w:rsidR="00B63B6B" w:rsidRPr="00B45D07" w14:paraId="72E9D4EC" w14:textId="77777777" w:rsidTr="00562F7D">
        <w:tc>
          <w:tcPr>
            <w:tcW w:w="2538" w:type="dxa"/>
          </w:tcPr>
          <w:p w14:paraId="08854424" w14:textId="108A0BC9" w:rsidR="00B63B6B" w:rsidRPr="00B45D07" w:rsidRDefault="008B4C71" w:rsidP="0093647F">
            <w:pPr>
              <w:pStyle w:val="ATABodyFacSlideNumLevel01"/>
              <w:numPr>
                <w:ilvl w:val="0"/>
                <w:numId w:val="0"/>
              </w:numPr>
              <w:ind w:left="72"/>
            </w:pPr>
            <w:r>
              <w:lastRenderedPageBreak/>
              <w:t xml:space="preserve">Activités suspectes </w:t>
            </w:r>
            <w:r w:rsidR="00AF5085" w:rsidRPr="00AF5085">
              <w:t xml:space="preserve">menées </w:t>
            </w:r>
            <w:r>
              <w:t>par des employés de banque</w:t>
            </w:r>
          </w:p>
        </w:tc>
        <w:tc>
          <w:tcPr>
            <w:tcW w:w="7038" w:type="dxa"/>
          </w:tcPr>
          <w:p w14:paraId="31ED3669" w14:textId="0CB06934" w:rsidR="008B4C71" w:rsidRPr="00B45D07" w:rsidRDefault="008B4C71" w:rsidP="008B4C71">
            <w:pPr>
              <w:pStyle w:val="ATABodyFacSlideBulletLevel01"/>
            </w:pPr>
            <w:r>
              <w:t>Un train de vie luxueux qui ne peut être financé par le salaire d'un employé.</w:t>
            </w:r>
          </w:p>
          <w:p w14:paraId="744D19C1" w14:textId="77777777" w:rsidR="008B4C71" w:rsidRPr="00B45D07" w:rsidRDefault="008B4C71" w:rsidP="008B4C71">
            <w:pPr>
              <w:pStyle w:val="ATABodyFacSlideBulletLevel01"/>
            </w:pPr>
            <w:r>
              <w:t>Le non-respect des systèmes et contrôles reconnus, en particulier si c'est une banque privée.</w:t>
            </w:r>
          </w:p>
          <w:p w14:paraId="7B93DF48" w14:textId="4CE2097B" w:rsidR="00B63B6B" w:rsidRPr="00B45D07" w:rsidRDefault="008B4C71" w:rsidP="008B4C71">
            <w:pPr>
              <w:pStyle w:val="ATABodyFacSlideBulletLevel01"/>
              <w:spacing w:after="60"/>
            </w:pPr>
            <w:r>
              <w:t>Une réticence à prendre des vacances.</w:t>
            </w:r>
          </w:p>
        </w:tc>
      </w:tr>
      <w:tr w:rsidR="00B63B6B" w:rsidRPr="00B45D07" w14:paraId="1D20A2C0" w14:textId="77777777" w:rsidTr="00562F7D">
        <w:tc>
          <w:tcPr>
            <w:tcW w:w="2538" w:type="dxa"/>
          </w:tcPr>
          <w:p w14:paraId="0F9A6709" w14:textId="66C0ABE8" w:rsidR="00B63B6B" w:rsidRPr="00B45D07" w:rsidRDefault="008B4C71" w:rsidP="0093647F">
            <w:pPr>
              <w:pStyle w:val="ATABodyFacSlideNumLevel01"/>
              <w:numPr>
                <w:ilvl w:val="0"/>
                <w:numId w:val="0"/>
              </w:numPr>
              <w:ind w:left="72"/>
            </w:pPr>
            <w:r>
              <w:t>Transactions interbancaires suspectes</w:t>
            </w:r>
          </w:p>
        </w:tc>
        <w:tc>
          <w:tcPr>
            <w:tcW w:w="7038" w:type="dxa"/>
          </w:tcPr>
          <w:p w14:paraId="6F8AE151" w14:textId="7C0E75FA" w:rsidR="008B4C71" w:rsidRPr="00B45D07" w:rsidRDefault="008B4C71" w:rsidP="008B4C71">
            <w:pPr>
              <w:pStyle w:val="ATABodyFacSlideBulletLevel01"/>
            </w:pPr>
            <w:r>
              <w:t>Des changements dans les habitudes de transfert de devises entre des banques qui font régulièrement affaire ensemble.</w:t>
            </w:r>
          </w:p>
          <w:p w14:paraId="3DF2E5A6" w14:textId="77777777" w:rsidR="008B4C71" w:rsidRPr="00B45D07" w:rsidRDefault="008B4C71" w:rsidP="008B4C71">
            <w:pPr>
              <w:pStyle w:val="ATABodyFacSlideBulletLevel01"/>
            </w:pPr>
            <w:r>
              <w:t xml:space="preserve">Une augmentation des opérations monétaires importantes. </w:t>
            </w:r>
          </w:p>
          <w:p w14:paraId="2A60E9A6" w14:textId="6938C738" w:rsidR="008B4C71" w:rsidRPr="00B45D07" w:rsidRDefault="008B4C71" w:rsidP="008B4C71">
            <w:pPr>
              <w:pStyle w:val="ATABodyFacSlideBulletLevel01"/>
            </w:pPr>
            <w:r>
              <w:t>Des dépôts d'argent auprès d'une banque nationale dont le volume est disproportionné par rapport à celui des établissements de dépôt similaires.</w:t>
            </w:r>
          </w:p>
          <w:p w14:paraId="62F03EB3" w14:textId="26A53379" w:rsidR="008B4C71" w:rsidRPr="00B45D07" w:rsidRDefault="008B4C71" w:rsidP="008B4C71">
            <w:pPr>
              <w:pStyle w:val="ATABodyFacSlideBulletLevel01"/>
            </w:pPr>
            <w:r>
              <w:t>Une rotation importante de grosses coupures qui ne semble pas caractéristique de l'endroit où la banque est implantée.</w:t>
            </w:r>
          </w:p>
          <w:p w14:paraId="35A2381D" w14:textId="77777777" w:rsidR="008B4C71" w:rsidRPr="00B45D07" w:rsidRDefault="008B4C71" w:rsidP="008B4C71">
            <w:pPr>
              <w:pStyle w:val="ATABodyFacSlideBulletLevel01"/>
            </w:pPr>
            <w:r>
              <w:t xml:space="preserve">Une forte augmentation des petites coupures et une diminution correspondante des grosses coupures. </w:t>
            </w:r>
          </w:p>
          <w:p w14:paraId="316F7D24" w14:textId="2B4F7745" w:rsidR="00B63B6B" w:rsidRPr="00B45D07" w:rsidRDefault="008B4C71" w:rsidP="003D4F12">
            <w:pPr>
              <w:pStyle w:val="ATABodyFacSlideBulletLevel01"/>
              <w:spacing w:after="60"/>
            </w:pPr>
            <w:r>
              <w:t>Une augmentation rapide de la fréquence des dépôts en espèces ou de leurs montants, sans augmentation correspondante des autres types de dépôts.</w:t>
            </w:r>
          </w:p>
        </w:tc>
      </w:tr>
      <w:tr w:rsidR="00B63B6B" w:rsidRPr="00B45D07" w14:paraId="721F7D32" w14:textId="77777777" w:rsidTr="00562F7D">
        <w:tc>
          <w:tcPr>
            <w:tcW w:w="2538" w:type="dxa"/>
          </w:tcPr>
          <w:p w14:paraId="08105CF8" w14:textId="1E3B3383" w:rsidR="00B63B6B" w:rsidRPr="00B45D07" w:rsidRDefault="008B4C71" w:rsidP="0093647F">
            <w:pPr>
              <w:pStyle w:val="ATABodyFacSlideNumLevel01"/>
              <w:numPr>
                <w:ilvl w:val="0"/>
                <w:numId w:val="0"/>
              </w:numPr>
              <w:ind w:left="72"/>
            </w:pPr>
            <w:r>
              <w:t xml:space="preserve">Autres activités suspectes </w:t>
            </w:r>
            <w:r w:rsidR="00AF5085">
              <w:t xml:space="preserve">menées par </w:t>
            </w:r>
            <w:r>
              <w:t>des clients</w:t>
            </w:r>
          </w:p>
        </w:tc>
        <w:tc>
          <w:tcPr>
            <w:tcW w:w="7038" w:type="dxa"/>
          </w:tcPr>
          <w:p w14:paraId="3AE3D73A" w14:textId="538FDD0B" w:rsidR="008B4C71" w:rsidRPr="00B45D07" w:rsidRDefault="008B4C71" w:rsidP="008B4C71">
            <w:pPr>
              <w:pStyle w:val="ATABodyFacSlideBulletLevel01"/>
            </w:pPr>
            <w:r>
              <w:t>Un client dont l’adresse postale est à l'étranger.</w:t>
            </w:r>
          </w:p>
          <w:p w14:paraId="51C49FC4" w14:textId="77777777" w:rsidR="008B4C71" w:rsidRPr="00B45D07" w:rsidRDefault="008B4C71" w:rsidP="008B4C71">
            <w:pPr>
              <w:pStyle w:val="ATABodyFacSlideBulletLevel01"/>
            </w:pPr>
            <w:r>
              <w:t>Des échanges fréquents de petites coupures contre des grosses.</w:t>
            </w:r>
          </w:p>
          <w:p w14:paraId="7F31F7EB" w14:textId="77777777" w:rsidR="008B4C71" w:rsidRPr="00B45D07" w:rsidRDefault="008B4C71" w:rsidP="008B4C71">
            <w:pPr>
              <w:pStyle w:val="ATABodyFacSlideBulletLevel01"/>
            </w:pPr>
            <w:r>
              <w:t>Des certificats de dépôt ou autres investissements monétaires utilisés comme garantie de prêt.</w:t>
            </w:r>
          </w:p>
          <w:p w14:paraId="3B00EAC8" w14:textId="77777777" w:rsidR="008B4C71" w:rsidRPr="00B45D07" w:rsidRDefault="008B4C71" w:rsidP="008B4C71">
            <w:pPr>
              <w:pStyle w:val="ATABodyFacSlideBulletLevel01"/>
            </w:pPr>
            <w:r>
              <w:t xml:space="preserve">Le remboursement soudain d’un prêt important sans explication raisonnable sur la façon dont l’argent en question a été accumulé. </w:t>
            </w:r>
          </w:p>
          <w:p w14:paraId="2D3BD09A" w14:textId="03693D80" w:rsidR="008B4C71" w:rsidRPr="00B45D07" w:rsidRDefault="008B4C71" w:rsidP="008B4C71">
            <w:pPr>
              <w:pStyle w:val="ATABodyFacSlideBulletLevel01"/>
            </w:pPr>
            <w:r>
              <w:t>De grosses sommes en espèces enveloppées dans des bandes de monnaie provenant d'autres banques – surtout des banques d'une autre région.</w:t>
            </w:r>
          </w:p>
          <w:p w14:paraId="6ABE6488" w14:textId="33401238" w:rsidR="008B4C71" w:rsidRPr="00B45D07" w:rsidRDefault="008B4C71" w:rsidP="008B4C71">
            <w:pPr>
              <w:pStyle w:val="ATABodyFacSlideBulletLevel01"/>
            </w:pPr>
            <w:r>
              <w:t>Un dépôt de billets en désordre et emballés dans des bandes de monnaie ou des élastiques qui ne concordent pas lorsqu'on les compte.</w:t>
            </w:r>
          </w:p>
          <w:p w14:paraId="2523A547" w14:textId="77777777" w:rsidR="008B4C71" w:rsidRPr="00B45D07" w:rsidRDefault="008B4C71" w:rsidP="008B4C71">
            <w:pPr>
              <w:pStyle w:val="ATABodyFacSlideBulletLevel01"/>
            </w:pPr>
            <w:r>
              <w:t>Un dépôt de billets moisis ou sales.</w:t>
            </w:r>
          </w:p>
          <w:p w14:paraId="63884F89" w14:textId="3C07B693" w:rsidR="008B4C71" w:rsidRPr="00B45D07" w:rsidRDefault="00A7579A" w:rsidP="008B4C71">
            <w:pPr>
              <w:pStyle w:val="ATABodyFacSlideBulletLevel01"/>
            </w:pPr>
            <w:r>
              <w:lastRenderedPageBreak/>
              <w:t>Des virements ou des achats de chèques de banque/de mandats impliquant de grosses sommes en espèces.</w:t>
            </w:r>
          </w:p>
          <w:p w14:paraId="7F602431" w14:textId="4D6A072C" w:rsidR="008B4C71" w:rsidRPr="00B45D07" w:rsidRDefault="008B4C71" w:rsidP="008B4C71">
            <w:pPr>
              <w:pStyle w:val="ATABodyFacSlideBulletLevel01"/>
            </w:pPr>
            <w:r>
              <w:t>Un client qui insiste pour rencontrer son banquier à un endroit autre que son lieu d'affaires.</w:t>
            </w:r>
          </w:p>
          <w:p w14:paraId="26595B72" w14:textId="0EF40324" w:rsidR="008B4C71" w:rsidRPr="00B45D07" w:rsidRDefault="008B4C71" w:rsidP="008B4C71">
            <w:pPr>
              <w:pStyle w:val="ATABodyFacSlideBulletLevel01"/>
            </w:pPr>
            <w:r>
              <w:t>L’ouverture de comptes bancaires nationaux au nom d'une maison de change étrangère, suivis de virements ou de dépôts structurés sur ces comptes.</w:t>
            </w:r>
          </w:p>
          <w:p w14:paraId="4D15F0C4" w14:textId="77777777" w:rsidR="008B4C71" w:rsidRPr="00B45D07" w:rsidRDefault="008B4C71" w:rsidP="008B4C71">
            <w:pPr>
              <w:pStyle w:val="ATABodyFacSlideBulletLevel01"/>
            </w:pPr>
            <w:r>
              <w:t>Des mouvements de fonds d'une banque à une autre qui reviennent ensuite vers la première. Exemple :</w:t>
            </w:r>
          </w:p>
          <w:p w14:paraId="6F6C704A" w14:textId="77777777" w:rsidR="003D4F12" w:rsidRPr="00B45D07" w:rsidRDefault="003D4F12" w:rsidP="003D4F12">
            <w:pPr>
              <w:pStyle w:val="ATABodyFacSlideBulletLevel02"/>
            </w:pPr>
            <w:r>
              <w:t>Achat de chèques de banque auprès de la Banque A.</w:t>
            </w:r>
          </w:p>
          <w:p w14:paraId="2E1CB2B5" w14:textId="77777777" w:rsidR="003D4F12" w:rsidRPr="00B45D07" w:rsidRDefault="003D4F12" w:rsidP="003D4F12">
            <w:pPr>
              <w:pStyle w:val="ATABodyFacSlideBulletLevel02"/>
            </w:pPr>
            <w:r>
              <w:t>Ouverture d’un compte courant dans la banque B.</w:t>
            </w:r>
          </w:p>
          <w:p w14:paraId="1E008BEB" w14:textId="77A1FC25" w:rsidR="003D4F12" w:rsidRPr="00B45D07" w:rsidRDefault="003D4F12" w:rsidP="003D4F12">
            <w:pPr>
              <w:pStyle w:val="ATABodyFacSlideBulletLevel02"/>
            </w:pPr>
            <w:r>
              <w:t>Dépôt des chèques de banque sur le compte ouvert à la Banque B.</w:t>
            </w:r>
          </w:p>
          <w:p w14:paraId="160478C3" w14:textId="77777777" w:rsidR="003D4F12" w:rsidRPr="00B45D07" w:rsidRDefault="003D4F12" w:rsidP="003D4F12">
            <w:pPr>
              <w:pStyle w:val="ATABodyFacSlideBulletLevel02"/>
            </w:pPr>
            <w:r>
              <w:t>Virement des fonds du compte ouvert à la Banque B sur le compte ouvert à la Banque A.</w:t>
            </w:r>
          </w:p>
          <w:p w14:paraId="3E1347BB" w14:textId="77777777" w:rsidR="003D4F12" w:rsidRPr="00B45D07" w:rsidRDefault="003D4F12" w:rsidP="003D4F12">
            <w:pPr>
              <w:pStyle w:val="ATABodyFacSlideBulletLevel01"/>
            </w:pPr>
            <w:r>
              <w:t>Une entreprise étrangère (en particulier si elle est située dans un pays pratiquant le secret bancaire) qui demande un prêt à une banque nationale ou qui demande un prêt garanti par des obligations de banques étrangères.</w:t>
            </w:r>
          </w:p>
          <w:p w14:paraId="04B3A515" w14:textId="77777777" w:rsidR="003D4F12" w:rsidRPr="00B45D07" w:rsidRDefault="003D4F12" w:rsidP="003D4F12">
            <w:pPr>
              <w:pStyle w:val="ATABodyFacSlideBulletLevel01"/>
            </w:pPr>
            <w:r>
              <w:t>L’utilisation d’un prêt pour un but autre que l’objectif déclaré.</w:t>
            </w:r>
          </w:p>
          <w:p w14:paraId="7AD0C96D" w14:textId="42683CDE" w:rsidR="003D4F12" w:rsidRPr="00B45D07" w:rsidRDefault="003D4F12" w:rsidP="003D4F12">
            <w:pPr>
              <w:pStyle w:val="ATABodyFacSlideBulletLevel01"/>
            </w:pPr>
            <w:r>
              <w:t>Une personne non titulaire d’un compte qui achète un instrument monétaire avec des grosses coupures.</w:t>
            </w:r>
          </w:p>
          <w:p w14:paraId="36CC60A5" w14:textId="77777777" w:rsidR="003D4F12" w:rsidRPr="00B45D07" w:rsidRDefault="003D4F12" w:rsidP="003D4F12">
            <w:pPr>
              <w:pStyle w:val="ATABodyFacSlideBulletLevel01"/>
            </w:pPr>
            <w:r>
              <w:t>Un client qui achète plusieurs chèques de banque, mandats ou chèques de voyage pour des montants légèrement inférieurs à un seuil déterminé.</w:t>
            </w:r>
          </w:p>
          <w:p w14:paraId="59A47221" w14:textId="30A56181" w:rsidR="003D4F12" w:rsidRPr="00B45D07" w:rsidRDefault="003D4F12" w:rsidP="003D4F12">
            <w:pPr>
              <w:pStyle w:val="ATABodyFacSlideBulletLevel01"/>
            </w:pPr>
            <w:r>
              <w:t xml:space="preserve">Un coursier, plutôt que le titulaire du compte, qui effectue des dépôts sur un compte. </w:t>
            </w:r>
          </w:p>
          <w:p w14:paraId="76CB58ED" w14:textId="14BB542D" w:rsidR="00B63B6B" w:rsidRPr="00B45D07" w:rsidRDefault="003D4F12" w:rsidP="003D4F12">
            <w:pPr>
              <w:pStyle w:val="ATABodyFacSlideBulletLevel01"/>
              <w:spacing w:after="60"/>
            </w:pPr>
            <w:r>
              <w:t>Des mandats déposés par courrier qui sont numérotés dans l’ordre ou qui portent des symboles ou des tampons inhabituels.</w:t>
            </w:r>
          </w:p>
        </w:tc>
      </w:tr>
    </w:tbl>
    <w:p w14:paraId="7258B4F6" w14:textId="08E41F31" w:rsidR="002934D9" w:rsidRPr="00157B1E" w:rsidRDefault="002934D9" w:rsidP="00FC590C">
      <w:pPr>
        <w:rPr>
          <w:rFonts w:asciiTheme="majorHAnsi" w:hAnsiTheme="majorHAnsi" w:cs="Arial"/>
        </w:rPr>
      </w:pPr>
    </w:p>
    <w:sectPr w:rsidR="002934D9" w:rsidRPr="00157B1E"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9D67" w14:textId="77777777" w:rsidR="000E7E62" w:rsidRDefault="000E7E62" w:rsidP="00C82114">
      <w:r>
        <w:separator/>
      </w:r>
    </w:p>
  </w:endnote>
  <w:endnote w:type="continuationSeparator" w:id="0">
    <w:p w14:paraId="16E9C545" w14:textId="77777777" w:rsidR="000E7E62" w:rsidRDefault="000E7E62"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568963130"/>
      <w:docPartObj>
        <w:docPartGallery w:val="Page Numbers (Bottom of Page)"/>
        <w:docPartUnique/>
      </w:docPartObj>
    </w:sdtPr>
    <w:sdtEndPr>
      <w:rPr>
        <w:noProof/>
      </w:rPr>
    </w:sdtEndPr>
    <w:sdtContent>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7C57B8" w:rsidRPr="0026591D" w14:paraId="00E414F6" w14:textId="77777777" w:rsidTr="0026591D">
          <w:tc>
            <w:tcPr>
              <w:tcW w:w="8100" w:type="dxa"/>
            </w:tcPr>
            <w:p w14:paraId="00E414F4" w14:textId="440EF614" w:rsidR="007C57B8" w:rsidRPr="00AF5085" w:rsidRDefault="006319FB" w:rsidP="00D64DB9">
              <w:pPr>
                <w:pStyle w:val="ATAFooter"/>
                <w:rPr>
                  <w:rStyle w:val="ATAFooterChar"/>
                  <w:rFonts w:eastAsia="Arial Unicode MS"/>
                  <w:lang w:val="en-US"/>
                </w:rPr>
              </w:pPr>
              <w:r w:rsidRPr="00AF5085">
                <w:rPr>
                  <w:rStyle w:val="ATAFooterChar"/>
                  <w:lang w:val="en-US"/>
                </w:rPr>
                <w:t>Interdicting Terrorist Activities (ITA) v5.00</w:t>
              </w:r>
            </w:p>
          </w:tc>
          <w:tc>
            <w:tcPr>
              <w:tcW w:w="1260" w:type="dxa"/>
            </w:tcPr>
            <w:p w14:paraId="00E414F5" w14:textId="06B23B5C" w:rsidR="007C57B8" w:rsidRPr="0026591D" w:rsidRDefault="007C57B8" w:rsidP="0026591D">
              <w:pPr>
                <w:pStyle w:val="ATAFooter"/>
                <w:jc w:val="right"/>
                <w:rPr>
                  <w:szCs w:val="18"/>
                </w:rPr>
              </w:pPr>
              <w:r>
                <w:rPr>
                  <w:rStyle w:val="ATAFooterChar"/>
                </w:rPr>
                <w:t xml:space="preserve">Page </w:t>
              </w:r>
              <w:r w:rsidR="00DB78D8" w:rsidRPr="0026591D">
                <w:rPr>
                  <w:rStyle w:val="ATAFooterChar"/>
                  <w:rFonts w:eastAsia="Arial Unicode MS"/>
                </w:rPr>
                <w:fldChar w:fldCharType="begin"/>
              </w:r>
              <w:r w:rsidRPr="0026591D">
                <w:rPr>
                  <w:rStyle w:val="ATAFooterChar"/>
                  <w:rFonts w:eastAsia="Arial Unicode MS"/>
                </w:rPr>
                <w:instrText xml:space="preserve"> PAGE </w:instrText>
              </w:r>
              <w:r w:rsidR="00DB78D8" w:rsidRPr="0026591D">
                <w:rPr>
                  <w:rStyle w:val="ATAFooterChar"/>
                  <w:rFonts w:eastAsia="Arial Unicode MS"/>
                </w:rPr>
                <w:fldChar w:fldCharType="separate"/>
              </w:r>
              <w:r w:rsidR="00CD1147">
                <w:rPr>
                  <w:rStyle w:val="ATAFooterChar"/>
                  <w:rFonts w:eastAsia="Arial Unicode MS"/>
                </w:rPr>
                <w:t>2</w:t>
              </w:r>
              <w:r w:rsidR="00DB78D8" w:rsidRPr="0026591D">
                <w:rPr>
                  <w:rStyle w:val="ATAFooterChar"/>
                  <w:rFonts w:eastAsia="Arial Unicode MS"/>
                </w:rPr>
                <w:fldChar w:fldCharType="end"/>
              </w:r>
              <w:r w:rsidR="00D925CD">
                <w:rPr>
                  <w:rStyle w:val="ATAFooterChar"/>
                  <w:rFonts w:eastAsia="Arial Unicode MS"/>
                </w:rPr>
                <w:t xml:space="preserve"> of </w:t>
              </w:r>
              <w:r w:rsidR="00DB78D8"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00DB78D8" w:rsidRPr="0026591D">
                <w:rPr>
                  <w:rStyle w:val="ATAFooterChar"/>
                  <w:rFonts w:eastAsia="Arial Unicode MS"/>
                </w:rPr>
                <w:fldChar w:fldCharType="separate"/>
              </w:r>
              <w:r w:rsidR="00CD1147">
                <w:rPr>
                  <w:rStyle w:val="ATAFooterChar"/>
                  <w:rFonts w:eastAsia="Arial Unicode MS"/>
                </w:rPr>
                <w:t>4</w:t>
              </w:r>
              <w:r w:rsidR="00DB78D8" w:rsidRPr="0026591D">
                <w:rPr>
                  <w:rStyle w:val="ATAFooterChar"/>
                  <w:rFonts w:eastAsia="Arial Unicode MS"/>
                </w:rPr>
                <w:fldChar w:fldCharType="end"/>
              </w:r>
            </w:p>
          </w:tc>
        </w:tr>
      </w:tbl>
      <w:p w14:paraId="00E414F7" w14:textId="77777777" w:rsidR="007C57B8" w:rsidRPr="00AF5085" w:rsidRDefault="007C57B8" w:rsidP="00423B24">
        <w:pPr>
          <w:tabs>
            <w:tab w:val="right" w:pos="8640"/>
          </w:tabs>
          <w:jc w:val="center"/>
          <w:rPr>
            <w:rFonts w:eastAsia="Arial Unicode MS"/>
            <w:lang w:val="en-US"/>
          </w:rPr>
        </w:pPr>
        <w:r w:rsidRPr="00AF5085">
          <w:rPr>
            <w:rFonts w:ascii="Calibri" w:hAnsi="Calibri"/>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A4F7" w14:textId="77777777" w:rsidR="000E7E62" w:rsidRDefault="000E7E62" w:rsidP="00C82114">
      <w:r>
        <w:separator/>
      </w:r>
    </w:p>
  </w:footnote>
  <w:footnote w:type="continuationSeparator" w:id="0">
    <w:p w14:paraId="5EE1AF28" w14:textId="77777777" w:rsidR="000E7E62" w:rsidRDefault="000E7E62"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5"/>
      <w:gridCol w:w="4665"/>
    </w:tblGrid>
    <w:tr w:rsidR="007C57B8" w:rsidRPr="00AF5085" w14:paraId="00E414F2" w14:textId="77777777" w:rsidTr="00B57D4F">
      <w:tc>
        <w:tcPr>
          <w:tcW w:w="4788" w:type="dxa"/>
          <w:vAlign w:val="bottom"/>
        </w:tcPr>
        <w:p w14:paraId="00E414F0" w14:textId="33976C56" w:rsidR="007C57B8" w:rsidRPr="00AF5085" w:rsidRDefault="00806DEA" w:rsidP="0093647F">
          <w:pPr>
            <w:pStyle w:val="ATAHeader"/>
            <w:tabs>
              <w:tab w:val="clear" w:pos="0"/>
            </w:tabs>
            <w:ind w:left="960" w:hanging="960"/>
            <w:rPr>
              <w:lang w:val="en-US"/>
            </w:rPr>
          </w:pPr>
          <w:r w:rsidRPr="00AF5085">
            <w:rPr>
              <w:lang w:val="en-US"/>
            </w:rPr>
            <w:t>Module 8: Financial Aspects of Terrorist Operations</w:t>
          </w:r>
        </w:p>
      </w:tc>
      <w:tc>
        <w:tcPr>
          <w:tcW w:w="4788" w:type="dxa"/>
          <w:vAlign w:val="bottom"/>
        </w:tcPr>
        <w:p w14:paraId="00E414F1" w14:textId="64861CB0" w:rsidR="007C57B8" w:rsidRPr="00AF5085" w:rsidRDefault="006319FB" w:rsidP="009B7C9A">
          <w:pPr>
            <w:pStyle w:val="ATAHeader"/>
            <w:jc w:val="right"/>
            <w:rPr>
              <w:lang w:val="en-US"/>
            </w:rPr>
          </w:pPr>
          <w:r w:rsidRPr="00AF5085">
            <w:rPr>
              <w:lang w:val="en-US"/>
            </w:rPr>
            <w:t>Workbook 8.4: Examples of Suspicious Activity</w:t>
          </w:r>
        </w:p>
      </w:tc>
    </w:tr>
  </w:tbl>
  <w:p w14:paraId="00E414F3" w14:textId="77777777" w:rsidR="007C57B8" w:rsidRPr="00AF5085" w:rsidRDefault="007C57B8" w:rsidP="00456B5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E20"/>
    <w:multiLevelType w:val="hybridMultilevel"/>
    <w:tmpl w:val="1FEAD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4AC06A67"/>
    <w:multiLevelType w:val="hybridMultilevel"/>
    <w:tmpl w:val="7BD868E8"/>
    <w:lvl w:ilvl="0" w:tplc="07F00646">
      <w:start w:val="1"/>
      <w:numFmt w:val="bullet"/>
      <w:pStyle w:val="ATABodyFacSlideBulletLevel02"/>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4B314E6F"/>
    <w:multiLevelType w:val="hybridMultilevel"/>
    <w:tmpl w:val="741A8E52"/>
    <w:lvl w:ilvl="0" w:tplc="7A34BE0A">
      <w:start w:val="1"/>
      <w:numFmt w:val="bullet"/>
      <w:pStyle w:val="ATABodyFacSlideBulletLevel01"/>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198365">
    <w:abstractNumId w:val="3"/>
  </w:num>
  <w:num w:numId="2" w16cid:durableId="809397636">
    <w:abstractNumId w:val="6"/>
  </w:num>
  <w:num w:numId="3" w16cid:durableId="63727223">
    <w:abstractNumId w:val="7"/>
  </w:num>
  <w:num w:numId="4" w16cid:durableId="968167887">
    <w:abstractNumId w:val="2"/>
  </w:num>
  <w:num w:numId="5" w16cid:durableId="1979409867">
    <w:abstractNumId w:val="1"/>
  </w:num>
  <w:num w:numId="6" w16cid:durableId="885681077">
    <w:abstractNumId w:val="0"/>
  </w:num>
  <w:num w:numId="7" w16cid:durableId="2090493425">
    <w:abstractNumId w:val="5"/>
  </w:num>
  <w:num w:numId="8" w16cid:durableId="14184798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9C"/>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74389"/>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0CF1"/>
    <w:rsid w:val="000C361E"/>
    <w:rsid w:val="000C6B13"/>
    <w:rsid w:val="000C78A3"/>
    <w:rsid w:val="000D18CC"/>
    <w:rsid w:val="000D4AA5"/>
    <w:rsid w:val="000D4E8E"/>
    <w:rsid w:val="000D6923"/>
    <w:rsid w:val="000E053F"/>
    <w:rsid w:val="000E50CD"/>
    <w:rsid w:val="000E7E62"/>
    <w:rsid w:val="000F05B0"/>
    <w:rsid w:val="000F784C"/>
    <w:rsid w:val="001042E5"/>
    <w:rsid w:val="001063E0"/>
    <w:rsid w:val="0011397E"/>
    <w:rsid w:val="001142A3"/>
    <w:rsid w:val="00117566"/>
    <w:rsid w:val="001211DF"/>
    <w:rsid w:val="0012472D"/>
    <w:rsid w:val="00124ABF"/>
    <w:rsid w:val="00124F0D"/>
    <w:rsid w:val="001259FD"/>
    <w:rsid w:val="00132CA1"/>
    <w:rsid w:val="00134898"/>
    <w:rsid w:val="00140812"/>
    <w:rsid w:val="001438BD"/>
    <w:rsid w:val="001449E0"/>
    <w:rsid w:val="00145378"/>
    <w:rsid w:val="00146548"/>
    <w:rsid w:val="001473D0"/>
    <w:rsid w:val="00151B4C"/>
    <w:rsid w:val="001520A9"/>
    <w:rsid w:val="001538CC"/>
    <w:rsid w:val="0015480C"/>
    <w:rsid w:val="00155C46"/>
    <w:rsid w:val="001577BB"/>
    <w:rsid w:val="00157B1E"/>
    <w:rsid w:val="001601EF"/>
    <w:rsid w:val="00163B76"/>
    <w:rsid w:val="0016636E"/>
    <w:rsid w:val="00166677"/>
    <w:rsid w:val="00171C61"/>
    <w:rsid w:val="00172713"/>
    <w:rsid w:val="00172CDA"/>
    <w:rsid w:val="0017688C"/>
    <w:rsid w:val="001779F0"/>
    <w:rsid w:val="00182D9D"/>
    <w:rsid w:val="0018406E"/>
    <w:rsid w:val="00185162"/>
    <w:rsid w:val="00185550"/>
    <w:rsid w:val="00185C31"/>
    <w:rsid w:val="001878C6"/>
    <w:rsid w:val="00195070"/>
    <w:rsid w:val="00196BCB"/>
    <w:rsid w:val="00196FEF"/>
    <w:rsid w:val="001A1F8A"/>
    <w:rsid w:val="001A2325"/>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1595"/>
    <w:rsid w:val="001E469C"/>
    <w:rsid w:val="001E4F4D"/>
    <w:rsid w:val="001F3EDA"/>
    <w:rsid w:val="001F5C04"/>
    <w:rsid w:val="001F6A3C"/>
    <w:rsid w:val="001F75B0"/>
    <w:rsid w:val="00200517"/>
    <w:rsid w:val="00202847"/>
    <w:rsid w:val="00204C5D"/>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1859"/>
    <w:rsid w:val="00243817"/>
    <w:rsid w:val="002469C9"/>
    <w:rsid w:val="00247D15"/>
    <w:rsid w:val="00247FB7"/>
    <w:rsid w:val="00250672"/>
    <w:rsid w:val="002506E4"/>
    <w:rsid w:val="00251C0C"/>
    <w:rsid w:val="0025295B"/>
    <w:rsid w:val="00252CBC"/>
    <w:rsid w:val="002539A6"/>
    <w:rsid w:val="00254F22"/>
    <w:rsid w:val="002567CF"/>
    <w:rsid w:val="00262DF0"/>
    <w:rsid w:val="00263CC7"/>
    <w:rsid w:val="00264504"/>
    <w:rsid w:val="00264E04"/>
    <w:rsid w:val="0026591D"/>
    <w:rsid w:val="00265E9B"/>
    <w:rsid w:val="00266371"/>
    <w:rsid w:val="002669CC"/>
    <w:rsid w:val="0026784C"/>
    <w:rsid w:val="0026798C"/>
    <w:rsid w:val="00271F33"/>
    <w:rsid w:val="00272A02"/>
    <w:rsid w:val="00273580"/>
    <w:rsid w:val="00277E42"/>
    <w:rsid w:val="00285CC0"/>
    <w:rsid w:val="002934D9"/>
    <w:rsid w:val="0029575D"/>
    <w:rsid w:val="00296513"/>
    <w:rsid w:val="00296BBB"/>
    <w:rsid w:val="002A0962"/>
    <w:rsid w:val="002A1B61"/>
    <w:rsid w:val="002A2685"/>
    <w:rsid w:val="002A4028"/>
    <w:rsid w:val="002A7E7C"/>
    <w:rsid w:val="002B17F0"/>
    <w:rsid w:val="002B4783"/>
    <w:rsid w:val="002B4DE1"/>
    <w:rsid w:val="002B4F53"/>
    <w:rsid w:val="002B7536"/>
    <w:rsid w:val="002C07D7"/>
    <w:rsid w:val="002C0833"/>
    <w:rsid w:val="002C3037"/>
    <w:rsid w:val="002D2049"/>
    <w:rsid w:val="002D22E1"/>
    <w:rsid w:val="002D23BF"/>
    <w:rsid w:val="002E304A"/>
    <w:rsid w:val="002F1904"/>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4C28"/>
    <w:rsid w:val="00356C98"/>
    <w:rsid w:val="0036353C"/>
    <w:rsid w:val="0036366F"/>
    <w:rsid w:val="00364C1E"/>
    <w:rsid w:val="0036653F"/>
    <w:rsid w:val="00366661"/>
    <w:rsid w:val="00371178"/>
    <w:rsid w:val="003733E6"/>
    <w:rsid w:val="00375CE7"/>
    <w:rsid w:val="003822F0"/>
    <w:rsid w:val="00384DB7"/>
    <w:rsid w:val="00385980"/>
    <w:rsid w:val="00385B8F"/>
    <w:rsid w:val="0038689F"/>
    <w:rsid w:val="00390366"/>
    <w:rsid w:val="00392D65"/>
    <w:rsid w:val="003A0135"/>
    <w:rsid w:val="003A46E2"/>
    <w:rsid w:val="003B02D6"/>
    <w:rsid w:val="003B5891"/>
    <w:rsid w:val="003B5F81"/>
    <w:rsid w:val="003B7B4D"/>
    <w:rsid w:val="003C1E33"/>
    <w:rsid w:val="003C225C"/>
    <w:rsid w:val="003C2412"/>
    <w:rsid w:val="003C4674"/>
    <w:rsid w:val="003C6EA5"/>
    <w:rsid w:val="003D2245"/>
    <w:rsid w:val="003D26E2"/>
    <w:rsid w:val="003D3575"/>
    <w:rsid w:val="003D4F12"/>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AF4"/>
    <w:rsid w:val="00421B6D"/>
    <w:rsid w:val="004239F5"/>
    <w:rsid w:val="00423B24"/>
    <w:rsid w:val="00426C1D"/>
    <w:rsid w:val="00433828"/>
    <w:rsid w:val="004357F5"/>
    <w:rsid w:val="0044155E"/>
    <w:rsid w:val="00443DF9"/>
    <w:rsid w:val="0044446B"/>
    <w:rsid w:val="00445174"/>
    <w:rsid w:val="00445E76"/>
    <w:rsid w:val="00445E9B"/>
    <w:rsid w:val="0045190F"/>
    <w:rsid w:val="0045287D"/>
    <w:rsid w:val="0045386D"/>
    <w:rsid w:val="00456B51"/>
    <w:rsid w:val="00460A1E"/>
    <w:rsid w:val="00461061"/>
    <w:rsid w:val="004630C4"/>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67E"/>
    <w:rsid w:val="0049374E"/>
    <w:rsid w:val="00494C38"/>
    <w:rsid w:val="004A2700"/>
    <w:rsid w:val="004A4DD1"/>
    <w:rsid w:val="004B21D1"/>
    <w:rsid w:val="004B271E"/>
    <w:rsid w:val="004B2CEB"/>
    <w:rsid w:val="004B338E"/>
    <w:rsid w:val="004B3AE0"/>
    <w:rsid w:val="004B5324"/>
    <w:rsid w:val="004B6378"/>
    <w:rsid w:val="004B7AE3"/>
    <w:rsid w:val="004C24CE"/>
    <w:rsid w:val="004C3DF3"/>
    <w:rsid w:val="004C54B9"/>
    <w:rsid w:val="004C7886"/>
    <w:rsid w:val="004D535A"/>
    <w:rsid w:val="004D703A"/>
    <w:rsid w:val="004D7CEB"/>
    <w:rsid w:val="004E2A85"/>
    <w:rsid w:val="004E363F"/>
    <w:rsid w:val="004E3A7E"/>
    <w:rsid w:val="004E5479"/>
    <w:rsid w:val="004E5A21"/>
    <w:rsid w:val="004F30CC"/>
    <w:rsid w:val="004F5F0C"/>
    <w:rsid w:val="004F727F"/>
    <w:rsid w:val="005001B0"/>
    <w:rsid w:val="00500C6B"/>
    <w:rsid w:val="00503815"/>
    <w:rsid w:val="005047AE"/>
    <w:rsid w:val="005120E9"/>
    <w:rsid w:val="00521BC7"/>
    <w:rsid w:val="005259CD"/>
    <w:rsid w:val="00530BE7"/>
    <w:rsid w:val="00532B27"/>
    <w:rsid w:val="005335B1"/>
    <w:rsid w:val="00534537"/>
    <w:rsid w:val="00534D05"/>
    <w:rsid w:val="00535DBB"/>
    <w:rsid w:val="005464BE"/>
    <w:rsid w:val="00552238"/>
    <w:rsid w:val="005543FB"/>
    <w:rsid w:val="005572B7"/>
    <w:rsid w:val="00560A97"/>
    <w:rsid w:val="005613A0"/>
    <w:rsid w:val="00562AF3"/>
    <w:rsid w:val="00562F7D"/>
    <w:rsid w:val="00564B4D"/>
    <w:rsid w:val="00567D7F"/>
    <w:rsid w:val="005729A2"/>
    <w:rsid w:val="00574575"/>
    <w:rsid w:val="00583465"/>
    <w:rsid w:val="00584385"/>
    <w:rsid w:val="0058573F"/>
    <w:rsid w:val="0058763F"/>
    <w:rsid w:val="005904E9"/>
    <w:rsid w:val="00590B84"/>
    <w:rsid w:val="00592107"/>
    <w:rsid w:val="0059327E"/>
    <w:rsid w:val="00595179"/>
    <w:rsid w:val="005A2991"/>
    <w:rsid w:val="005A3490"/>
    <w:rsid w:val="005A4EF8"/>
    <w:rsid w:val="005B1929"/>
    <w:rsid w:val="005B2623"/>
    <w:rsid w:val="005B4D6D"/>
    <w:rsid w:val="005B7661"/>
    <w:rsid w:val="005C0148"/>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7AC0"/>
    <w:rsid w:val="00631145"/>
    <w:rsid w:val="0063114A"/>
    <w:rsid w:val="006319FB"/>
    <w:rsid w:val="00631A83"/>
    <w:rsid w:val="00631E6D"/>
    <w:rsid w:val="00632427"/>
    <w:rsid w:val="00632A8E"/>
    <w:rsid w:val="0063429F"/>
    <w:rsid w:val="0063449E"/>
    <w:rsid w:val="0064016B"/>
    <w:rsid w:val="006410BC"/>
    <w:rsid w:val="00644D00"/>
    <w:rsid w:val="00645AC1"/>
    <w:rsid w:val="006525E2"/>
    <w:rsid w:val="00652B2D"/>
    <w:rsid w:val="0067097D"/>
    <w:rsid w:val="0067394F"/>
    <w:rsid w:val="00674A53"/>
    <w:rsid w:val="006764E5"/>
    <w:rsid w:val="006767B4"/>
    <w:rsid w:val="00676E79"/>
    <w:rsid w:val="006827E9"/>
    <w:rsid w:val="00684B5C"/>
    <w:rsid w:val="00686813"/>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C56"/>
    <w:rsid w:val="00710B1A"/>
    <w:rsid w:val="007119DA"/>
    <w:rsid w:val="00714CEE"/>
    <w:rsid w:val="00723FB3"/>
    <w:rsid w:val="007245BF"/>
    <w:rsid w:val="00727299"/>
    <w:rsid w:val="00727449"/>
    <w:rsid w:val="00727944"/>
    <w:rsid w:val="00732121"/>
    <w:rsid w:val="00732EF9"/>
    <w:rsid w:val="00734793"/>
    <w:rsid w:val="00734DBF"/>
    <w:rsid w:val="0073582A"/>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4F2E"/>
    <w:rsid w:val="0079617A"/>
    <w:rsid w:val="00797C31"/>
    <w:rsid w:val="007A0533"/>
    <w:rsid w:val="007A1228"/>
    <w:rsid w:val="007A2A58"/>
    <w:rsid w:val="007A39D6"/>
    <w:rsid w:val="007A7703"/>
    <w:rsid w:val="007A7CD9"/>
    <w:rsid w:val="007B0509"/>
    <w:rsid w:val="007B1AF4"/>
    <w:rsid w:val="007B2DF4"/>
    <w:rsid w:val="007B33FE"/>
    <w:rsid w:val="007B378A"/>
    <w:rsid w:val="007B3DCE"/>
    <w:rsid w:val="007B50D4"/>
    <w:rsid w:val="007B6042"/>
    <w:rsid w:val="007B7312"/>
    <w:rsid w:val="007B7AF2"/>
    <w:rsid w:val="007C24A7"/>
    <w:rsid w:val="007C49EC"/>
    <w:rsid w:val="007C57B8"/>
    <w:rsid w:val="007C6052"/>
    <w:rsid w:val="007C69BE"/>
    <w:rsid w:val="007C6BD9"/>
    <w:rsid w:val="007C7F4E"/>
    <w:rsid w:val="007D0C38"/>
    <w:rsid w:val="007D17C8"/>
    <w:rsid w:val="007D7542"/>
    <w:rsid w:val="007E17CF"/>
    <w:rsid w:val="007F006D"/>
    <w:rsid w:val="007F0FAC"/>
    <w:rsid w:val="007F47FE"/>
    <w:rsid w:val="007F5503"/>
    <w:rsid w:val="007F7234"/>
    <w:rsid w:val="00801D86"/>
    <w:rsid w:val="00802ABE"/>
    <w:rsid w:val="008041F7"/>
    <w:rsid w:val="0080542B"/>
    <w:rsid w:val="00805701"/>
    <w:rsid w:val="00806DEA"/>
    <w:rsid w:val="00811CBB"/>
    <w:rsid w:val="0081215D"/>
    <w:rsid w:val="0081244B"/>
    <w:rsid w:val="00814011"/>
    <w:rsid w:val="00822510"/>
    <w:rsid w:val="008236BD"/>
    <w:rsid w:val="0082379C"/>
    <w:rsid w:val="0082462C"/>
    <w:rsid w:val="0082666F"/>
    <w:rsid w:val="00830397"/>
    <w:rsid w:val="00832BC2"/>
    <w:rsid w:val="00832C31"/>
    <w:rsid w:val="008348D9"/>
    <w:rsid w:val="0083495F"/>
    <w:rsid w:val="0084249C"/>
    <w:rsid w:val="0085163B"/>
    <w:rsid w:val="00851E1B"/>
    <w:rsid w:val="008544C7"/>
    <w:rsid w:val="0085460A"/>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4C71"/>
    <w:rsid w:val="008B6B0B"/>
    <w:rsid w:val="008B78ED"/>
    <w:rsid w:val="008B7C33"/>
    <w:rsid w:val="008C1CA9"/>
    <w:rsid w:val="008C59A5"/>
    <w:rsid w:val="008C70E0"/>
    <w:rsid w:val="008C7962"/>
    <w:rsid w:val="008D0D13"/>
    <w:rsid w:val="008D3A9D"/>
    <w:rsid w:val="008D3F80"/>
    <w:rsid w:val="008D4CAB"/>
    <w:rsid w:val="008D6E18"/>
    <w:rsid w:val="008E090F"/>
    <w:rsid w:val="008E1BA4"/>
    <w:rsid w:val="008E444E"/>
    <w:rsid w:val="008E45AB"/>
    <w:rsid w:val="008E563A"/>
    <w:rsid w:val="008E608F"/>
    <w:rsid w:val="008E68D9"/>
    <w:rsid w:val="008F0312"/>
    <w:rsid w:val="008F1B1E"/>
    <w:rsid w:val="008F28A3"/>
    <w:rsid w:val="008F34BF"/>
    <w:rsid w:val="0090380F"/>
    <w:rsid w:val="00910FAB"/>
    <w:rsid w:val="009140B2"/>
    <w:rsid w:val="00917AA4"/>
    <w:rsid w:val="00920C1C"/>
    <w:rsid w:val="00921854"/>
    <w:rsid w:val="009263DF"/>
    <w:rsid w:val="0092682C"/>
    <w:rsid w:val="00926F2A"/>
    <w:rsid w:val="00934215"/>
    <w:rsid w:val="0093647F"/>
    <w:rsid w:val="009370AB"/>
    <w:rsid w:val="00940F5E"/>
    <w:rsid w:val="009429C3"/>
    <w:rsid w:val="009455D9"/>
    <w:rsid w:val="0095259E"/>
    <w:rsid w:val="009550E2"/>
    <w:rsid w:val="00955C05"/>
    <w:rsid w:val="00957E6A"/>
    <w:rsid w:val="0096012F"/>
    <w:rsid w:val="00962359"/>
    <w:rsid w:val="009647A4"/>
    <w:rsid w:val="00964897"/>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B7C9A"/>
    <w:rsid w:val="009C2D4B"/>
    <w:rsid w:val="009C4974"/>
    <w:rsid w:val="009D1933"/>
    <w:rsid w:val="009D2449"/>
    <w:rsid w:val="009D3592"/>
    <w:rsid w:val="009D41DB"/>
    <w:rsid w:val="009D4CB9"/>
    <w:rsid w:val="009D58F6"/>
    <w:rsid w:val="009D640D"/>
    <w:rsid w:val="009D66AE"/>
    <w:rsid w:val="009D70A4"/>
    <w:rsid w:val="009D7F81"/>
    <w:rsid w:val="009E0B0B"/>
    <w:rsid w:val="009E2548"/>
    <w:rsid w:val="009E7E8A"/>
    <w:rsid w:val="009F0293"/>
    <w:rsid w:val="009F030F"/>
    <w:rsid w:val="009F03E8"/>
    <w:rsid w:val="009F29B6"/>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579A"/>
    <w:rsid w:val="00A76D6B"/>
    <w:rsid w:val="00A77ABD"/>
    <w:rsid w:val="00A77C05"/>
    <w:rsid w:val="00A77EBC"/>
    <w:rsid w:val="00A81806"/>
    <w:rsid w:val="00A848DC"/>
    <w:rsid w:val="00A85F4F"/>
    <w:rsid w:val="00A87631"/>
    <w:rsid w:val="00A90B24"/>
    <w:rsid w:val="00A9113D"/>
    <w:rsid w:val="00A966F5"/>
    <w:rsid w:val="00A96B11"/>
    <w:rsid w:val="00AA06A3"/>
    <w:rsid w:val="00AA1F7C"/>
    <w:rsid w:val="00AA3B58"/>
    <w:rsid w:val="00AA42C8"/>
    <w:rsid w:val="00AB24FA"/>
    <w:rsid w:val="00AB2D94"/>
    <w:rsid w:val="00AB5D90"/>
    <w:rsid w:val="00AC20B1"/>
    <w:rsid w:val="00AD33B9"/>
    <w:rsid w:val="00AD4EEC"/>
    <w:rsid w:val="00AE2655"/>
    <w:rsid w:val="00AE7D14"/>
    <w:rsid w:val="00AF1D7A"/>
    <w:rsid w:val="00AF5085"/>
    <w:rsid w:val="00B030A0"/>
    <w:rsid w:val="00B07BCE"/>
    <w:rsid w:val="00B10E8F"/>
    <w:rsid w:val="00B1135F"/>
    <w:rsid w:val="00B118A6"/>
    <w:rsid w:val="00B12D37"/>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5D07"/>
    <w:rsid w:val="00B52FF5"/>
    <w:rsid w:val="00B533FA"/>
    <w:rsid w:val="00B541A1"/>
    <w:rsid w:val="00B5675B"/>
    <w:rsid w:val="00B56B24"/>
    <w:rsid w:val="00B57221"/>
    <w:rsid w:val="00B57D4F"/>
    <w:rsid w:val="00B6047C"/>
    <w:rsid w:val="00B62325"/>
    <w:rsid w:val="00B63B6B"/>
    <w:rsid w:val="00B63E7C"/>
    <w:rsid w:val="00B7034A"/>
    <w:rsid w:val="00B706ED"/>
    <w:rsid w:val="00B71BD3"/>
    <w:rsid w:val="00B72F98"/>
    <w:rsid w:val="00B75F57"/>
    <w:rsid w:val="00B82FBF"/>
    <w:rsid w:val="00B839E7"/>
    <w:rsid w:val="00B84120"/>
    <w:rsid w:val="00B84555"/>
    <w:rsid w:val="00B85571"/>
    <w:rsid w:val="00B86CE9"/>
    <w:rsid w:val="00BA2EA6"/>
    <w:rsid w:val="00BA31E4"/>
    <w:rsid w:val="00BA40AF"/>
    <w:rsid w:val="00BA4668"/>
    <w:rsid w:val="00BB262E"/>
    <w:rsid w:val="00BB29EB"/>
    <w:rsid w:val="00BB4239"/>
    <w:rsid w:val="00BB6C08"/>
    <w:rsid w:val="00BB7231"/>
    <w:rsid w:val="00BC0192"/>
    <w:rsid w:val="00BC120E"/>
    <w:rsid w:val="00BC1363"/>
    <w:rsid w:val="00BC1566"/>
    <w:rsid w:val="00BC3FB3"/>
    <w:rsid w:val="00BC5A4B"/>
    <w:rsid w:val="00BC78EB"/>
    <w:rsid w:val="00BD5C6D"/>
    <w:rsid w:val="00BE1B07"/>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32885"/>
    <w:rsid w:val="00C340BA"/>
    <w:rsid w:val="00C34A31"/>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1E33"/>
    <w:rsid w:val="00CC457F"/>
    <w:rsid w:val="00CC56F1"/>
    <w:rsid w:val="00CC61FD"/>
    <w:rsid w:val="00CC71B0"/>
    <w:rsid w:val="00CD1147"/>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05D80"/>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407BA"/>
    <w:rsid w:val="00D44B02"/>
    <w:rsid w:val="00D52F2C"/>
    <w:rsid w:val="00D5342D"/>
    <w:rsid w:val="00D558D3"/>
    <w:rsid w:val="00D56EA7"/>
    <w:rsid w:val="00D611DA"/>
    <w:rsid w:val="00D61D1B"/>
    <w:rsid w:val="00D61D85"/>
    <w:rsid w:val="00D625F1"/>
    <w:rsid w:val="00D629B6"/>
    <w:rsid w:val="00D64DB9"/>
    <w:rsid w:val="00D66015"/>
    <w:rsid w:val="00D73E4A"/>
    <w:rsid w:val="00D74E7B"/>
    <w:rsid w:val="00D77B92"/>
    <w:rsid w:val="00D80C06"/>
    <w:rsid w:val="00D80F0C"/>
    <w:rsid w:val="00D90715"/>
    <w:rsid w:val="00D925CD"/>
    <w:rsid w:val="00D92839"/>
    <w:rsid w:val="00D95306"/>
    <w:rsid w:val="00D96CA5"/>
    <w:rsid w:val="00D973DA"/>
    <w:rsid w:val="00DA468E"/>
    <w:rsid w:val="00DA4E10"/>
    <w:rsid w:val="00DB116B"/>
    <w:rsid w:val="00DB78D8"/>
    <w:rsid w:val="00DB7DD2"/>
    <w:rsid w:val="00DC099A"/>
    <w:rsid w:val="00DC104B"/>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7DA9"/>
    <w:rsid w:val="00E303B7"/>
    <w:rsid w:val="00E3093C"/>
    <w:rsid w:val="00E318C1"/>
    <w:rsid w:val="00E32ABD"/>
    <w:rsid w:val="00E338A3"/>
    <w:rsid w:val="00E36917"/>
    <w:rsid w:val="00E43F36"/>
    <w:rsid w:val="00E46421"/>
    <w:rsid w:val="00E47303"/>
    <w:rsid w:val="00E4786D"/>
    <w:rsid w:val="00E52603"/>
    <w:rsid w:val="00E52CD5"/>
    <w:rsid w:val="00E56A85"/>
    <w:rsid w:val="00E56C04"/>
    <w:rsid w:val="00E57407"/>
    <w:rsid w:val="00E7088D"/>
    <w:rsid w:val="00E80DA0"/>
    <w:rsid w:val="00E815AD"/>
    <w:rsid w:val="00E831CE"/>
    <w:rsid w:val="00E846C2"/>
    <w:rsid w:val="00E85BA4"/>
    <w:rsid w:val="00E86AFC"/>
    <w:rsid w:val="00E92F62"/>
    <w:rsid w:val="00E95493"/>
    <w:rsid w:val="00E95577"/>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02AE"/>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23F2F"/>
    <w:rsid w:val="00F30519"/>
    <w:rsid w:val="00F30745"/>
    <w:rsid w:val="00F3355E"/>
    <w:rsid w:val="00F36873"/>
    <w:rsid w:val="00F3729D"/>
    <w:rsid w:val="00F43221"/>
    <w:rsid w:val="00F448D5"/>
    <w:rsid w:val="00F44B06"/>
    <w:rsid w:val="00F5175B"/>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6846"/>
    <w:rsid w:val="00FC1C90"/>
    <w:rsid w:val="00FC1F46"/>
    <w:rsid w:val="00FC284B"/>
    <w:rsid w:val="00FC3069"/>
    <w:rsid w:val="00FC590C"/>
    <w:rsid w:val="00FC60C9"/>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E414D6"/>
  <w15:docId w15:val="{1CAC5B5C-9CF2-4EA0-947D-EA4F7ADC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074389"/>
    <w:pPr>
      <w:numPr>
        <w:numId w:val="7"/>
      </w:numPr>
      <w:ind w:left="342" w:right="72"/>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07438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3D4F12"/>
    <w:pPr>
      <w:numPr>
        <w:numId w:val="8"/>
      </w:numPr>
      <w:ind w:left="702"/>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3D4F12"/>
    <w:rPr>
      <w:rFonts w:ascii="Cambria" w:hAnsi="Cambria"/>
      <w:color w:val="000000"/>
      <w:sz w:val="24"/>
      <w:szCs w:val="24"/>
    </w:rPr>
  </w:style>
  <w:style w:type="paragraph" w:styleId="ListParagraph">
    <w:name w:val="List Paragraph"/>
    <w:basedOn w:val="Normal"/>
    <w:semiHidden/>
    <w:locked/>
    <w:rsid w:val="00074389"/>
    <w:pPr>
      <w:ind w:left="720"/>
      <w:contextualSpacing/>
    </w:pPr>
  </w:style>
  <w:style w:type="paragraph" w:styleId="CommentText">
    <w:name w:val="annotation text"/>
    <w:basedOn w:val="Normal"/>
    <w:link w:val="CommentTextChar"/>
    <w:semiHidden/>
    <w:unhideWhenUsed/>
    <w:rsid w:val="004C7886"/>
    <w:rPr>
      <w:sz w:val="20"/>
      <w:szCs w:val="20"/>
    </w:rPr>
  </w:style>
  <w:style w:type="character" w:customStyle="1" w:styleId="CommentTextChar">
    <w:name w:val="Comment Text Char"/>
    <w:basedOn w:val="DefaultParagraphFont"/>
    <w:link w:val="CommentText"/>
    <w:semiHidden/>
    <w:rsid w:val="004C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2.xml><?xml version="1.0" encoding="utf-8"?>
<ds:datastoreItem xmlns:ds="http://schemas.openxmlformats.org/officeDocument/2006/customXml" ds:itemID="{D5BDB4B3-2783-4777-9BF8-2AD6A27AD00F}">
  <ds:schemaRefs>
    <ds:schemaRef ds:uri="http://schemas.openxmlformats.org/officeDocument/2006/bibliography"/>
  </ds:schemaRefs>
</ds:datastoreItem>
</file>

<file path=customXml/itemProps3.xml><?xml version="1.0" encoding="utf-8"?>
<ds:datastoreItem xmlns:ds="http://schemas.openxmlformats.org/officeDocument/2006/customXml" ds:itemID="{1F245831-87F4-4DFD-A7E9-D263655E0E54}">
  <ds:schemaRefs>
    <ds:schemaRef ds:uri="http://schemas.microsoft.com/office/2006/metadata/properties"/>
    <ds:schemaRef ds:uri="0b39b100-34c8-42a1-9ad6-b6ff7a1420fd"/>
    <ds:schemaRef ds:uri="67c3a874-3d5f-4ad1-9848-430308a3599e"/>
  </ds:schemaRefs>
</ds:datastoreItem>
</file>

<file path=customXml/itemProps4.xml><?xml version="1.0" encoding="utf-8"?>
<ds:datastoreItem xmlns:ds="http://schemas.openxmlformats.org/officeDocument/2006/customXml" ds:itemID="{04BEC3DB-48C4-4ED7-9018-8ECE7792A47B}"/>
</file>

<file path=docProps/app.xml><?xml version="1.0" encoding="utf-8"?>
<Properties xmlns="http://schemas.openxmlformats.org/officeDocument/2006/extended-properties" xmlns:vt="http://schemas.openxmlformats.org/officeDocument/2006/docPropsVTypes">
  <Template>Normal</Template>
  <TotalTime>17</TotalTime>
  <Pages>5</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Module 8: Financial Aspects of Terrorist Operations</vt:lpstr>
    </vt:vector>
  </TitlesOfParts>
  <Company>Office of Antiterrorism Assistance</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Financial Aspects of Terrorist Operations</dc:title>
  <dc:subject>Interdicting Terrorist Activities</dc:subject>
  <dc:creator>ATA</dc:creator>
  <cp:lastModifiedBy>Blackwell, Charita D</cp:lastModifiedBy>
  <cp:revision>11</cp:revision>
  <cp:lastPrinted>2012-04-27T18:10:00Z</cp:lastPrinted>
  <dcterms:created xsi:type="dcterms:W3CDTF">2021-09-10T18:57:00Z</dcterms:created>
  <dcterms:modified xsi:type="dcterms:W3CDTF">2023-03-24T22:44:00Z</dcterms:modified>
  <cp:category>Workbook 8.4: Examples of Suspicious Activity</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2022-09-10T00:37:42Z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f1fa243c-fa89-4f36-b2dd-0014c9ee726b</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