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387A" w14:textId="03547667" w:rsidR="00C05551" w:rsidRDefault="00C05551" w:rsidP="00F51FCC">
      <w:pPr>
        <w:pStyle w:val="ATAModuleTitle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66ED5E" wp14:editId="4D0CE531">
            <wp:simplePos x="0" y="0"/>
            <wp:positionH relativeFrom="column">
              <wp:posOffset>5678805</wp:posOffset>
            </wp:positionH>
            <wp:positionV relativeFrom="paragraph">
              <wp:posOffset>65608</wp:posOffset>
            </wp:positionV>
            <wp:extent cx="270253" cy="27470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253" cy="274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551">
        <w:rPr>
          <w:color w:val="FFFFFF" w:themeColor="background1"/>
        </w:rPr>
        <w:t xml:space="preserve"> </w:t>
      </w:r>
      <w:r>
        <w:rPr>
          <w:color w:val="FFFFFF" w:themeColor="background1"/>
        </w:rPr>
        <w:t>PolycopiÉ de l'instructeur </w:t>
      </w:r>
      <w:r>
        <w:t xml:space="preserve"> </w:t>
      </w:r>
      <w:r w:rsidR="00010422">
        <w:t>11</w:t>
      </w:r>
      <w:r w:rsidR="007F6852" w:rsidRPr="00C7023F">
        <w:t>.2</w:t>
      </w:r>
      <w:r w:rsidR="00C7023F" w:rsidRPr="00C7023F">
        <w:t> </w:t>
      </w:r>
      <w:r w:rsidR="007F6852" w:rsidRPr="00C7023F">
        <w:t xml:space="preserve">: </w:t>
      </w:r>
      <w:r w:rsidR="00C7023F">
        <w:t>RÉPONSES À L’</w:t>
      </w:r>
      <w:r w:rsidR="007F6852" w:rsidRPr="00C7023F">
        <w:t>Exerci</w:t>
      </w:r>
      <w:r w:rsidR="00C7023F" w:rsidRPr="00C7023F">
        <w:t>c</w:t>
      </w:r>
      <w:r w:rsidR="007F6852" w:rsidRPr="00C7023F">
        <w:t>e</w:t>
      </w:r>
      <w:r w:rsidR="00C7023F" w:rsidRPr="00C7023F">
        <w:t xml:space="preserve"> </w:t>
      </w:r>
      <w:r w:rsidR="00C7023F">
        <w:t xml:space="preserve">SUR LE </w:t>
      </w:r>
    </w:p>
    <w:p w14:paraId="0A50EB03" w14:textId="65763823" w:rsidR="00EE7DFC" w:rsidRPr="00C05551" w:rsidRDefault="00C7023F" w:rsidP="00C05551">
      <w:pPr>
        <w:pStyle w:val="ATAModuleTitle"/>
        <w:spacing w:before="0" w:beforeAutospacing="0" w:after="0" w:afterAutospacing="0"/>
      </w:pPr>
      <w:r>
        <w:t>PROCESSUS DE RENSEIGNEMENT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157B1E" w:rsidRPr="00115B58" w14:paraId="6D06B210" w14:textId="77777777" w:rsidTr="00CE54B2">
        <w:trPr>
          <w:cantSplit/>
        </w:trPr>
        <w:tc>
          <w:tcPr>
            <w:tcW w:w="1500" w:type="pct"/>
          </w:tcPr>
          <w:p w14:paraId="0D4CB52C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</w:tcPr>
          <w:p w14:paraId="52CF1287" w14:textId="77777777" w:rsidR="00157B1E" w:rsidRPr="00115B58" w:rsidRDefault="00CA7DC1" w:rsidP="00CA7DC1">
            <w:pPr>
              <w:pStyle w:val="ATABody"/>
            </w:pPr>
            <w:r>
              <w:t>Identifier chaque étape du processus de renseignement.</w:t>
            </w:r>
          </w:p>
        </w:tc>
      </w:tr>
      <w:tr w:rsidR="00157B1E" w:rsidRPr="00115B58" w14:paraId="7C0519EB" w14:textId="77777777" w:rsidTr="00CE54B2">
        <w:trPr>
          <w:cantSplit/>
        </w:trPr>
        <w:tc>
          <w:tcPr>
            <w:tcW w:w="1500" w:type="pct"/>
          </w:tcPr>
          <w:p w14:paraId="34E9F4AB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</w:tcPr>
          <w:p w14:paraId="0E5C0A55" w14:textId="7EB3D469" w:rsidR="00157B1E" w:rsidRPr="00115B58" w:rsidRDefault="00CA7DC1" w:rsidP="00157B1E">
            <w:pPr>
              <w:pStyle w:val="ATABody"/>
            </w:pPr>
            <w:r>
              <w:t>30 minutes (&lt;insérez ici la durée de chaque partie de l'activité&gt;)</w:t>
            </w:r>
          </w:p>
        </w:tc>
      </w:tr>
      <w:tr w:rsidR="00157B1E" w:rsidRPr="00115B58" w14:paraId="6ABD33BA" w14:textId="77777777" w:rsidTr="00CE54B2">
        <w:trPr>
          <w:cantSplit/>
        </w:trPr>
        <w:tc>
          <w:tcPr>
            <w:tcW w:w="1500" w:type="pct"/>
          </w:tcPr>
          <w:p w14:paraId="6AC051AB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</w:tcPr>
          <w:p w14:paraId="6F09EC5A" w14:textId="4D0EA5FA" w:rsidR="00157B1E" w:rsidRPr="00115B58" w:rsidRDefault="00494127" w:rsidP="00157B1E">
            <w:pPr>
              <w:pStyle w:val="ATABody"/>
            </w:pPr>
            <w:r>
              <w:t>Petit</w:t>
            </w:r>
            <w:r w:rsidR="00B07EDC">
              <w:t>s</w:t>
            </w:r>
            <w:r>
              <w:t xml:space="preserve"> groupe</w:t>
            </w:r>
            <w:r w:rsidR="00B07EDC">
              <w:t>s</w:t>
            </w:r>
          </w:p>
        </w:tc>
      </w:tr>
      <w:tr w:rsidR="00157B1E" w:rsidRPr="00115B58" w14:paraId="0A536A1B" w14:textId="77777777" w:rsidTr="00CE54B2">
        <w:trPr>
          <w:cantSplit/>
        </w:trPr>
        <w:tc>
          <w:tcPr>
            <w:tcW w:w="1500" w:type="pct"/>
          </w:tcPr>
          <w:p w14:paraId="77764A26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</w:tcPr>
          <w:p w14:paraId="10077D02" w14:textId="454E4CEF" w:rsidR="00157B1E" w:rsidRPr="00115B58" w:rsidRDefault="00CA7DC1" w:rsidP="00157B1E">
            <w:pPr>
              <w:pStyle w:val="ATABody"/>
            </w:pPr>
            <w:r>
              <w:t>Noter la réponse et la fournir au reste de la classe</w:t>
            </w:r>
            <w:r w:rsidR="00C7023F">
              <w:t>.</w:t>
            </w:r>
          </w:p>
        </w:tc>
      </w:tr>
    </w:tbl>
    <w:p w14:paraId="506F9BAE" w14:textId="77777777" w:rsidR="00157B1E" w:rsidRDefault="00157B1E" w:rsidP="00157B1E">
      <w:pPr>
        <w:rPr>
          <w:rFonts w:asciiTheme="majorHAnsi" w:hAnsiTheme="majorHAnsi" w:cs="Arial"/>
        </w:rPr>
      </w:pPr>
    </w:p>
    <w:p w14:paraId="64B431EF" w14:textId="77777777" w:rsidR="006A06BB" w:rsidRDefault="00157B1E" w:rsidP="00644D00">
      <w:pPr>
        <w:pStyle w:val="ATABody"/>
      </w:pPr>
      <w:r>
        <w:t>Consignes :</w:t>
      </w:r>
      <w:r>
        <w:tab/>
      </w:r>
    </w:p>
    <w:p w14:paraId="6FEC81DA" w14:textId="5DD1A646" w:rsidR="00CA7DC1" w:rsidRPr="00E01E44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 xml:space="preserve">Effectuez l'exercice en petit groupe. </w:t>
      </w:r>
    </w:p>
    <w:p w14:paraId="5F3E74D7" w14:textId="4E2E501F" w:rsidR="00CA7DC1" w:rsidRPr="00E01E44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Lisez l</w:t>
      </w:r>
      <w:r w:rsidR="00B07EDC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>scénario (1) dans la colonne gauche du tableau 1 : Exercice sur le processus de renseignement.</w:t>
      </w:r>
    </w:p>
    <w:p w14:paraId="2AA33684" w14:textId="77777777" w:rsidR="00494127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Votre tâche est d’identifier l'étape du processus de renseignement décrite dans chaque scénario.</w:t>
      </w:r>
    </w:p>
    <w:p w14:paraId="7A15447A" w14:textId="15BE365A" w:rsidR="00CA7DC1" w:rsidRPr="00E01E44" w:rsidRDefault="002D116E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Notez vos réponses dans la colonne « Étape du processus de renseignement(2) ».</w:t>
      </w:r>
    </w:p>
    <w:p w14:paraId="1CF0FD80" w14:textId="1F944F2D" w:rsidR="00CA7DC1" w:rsidRPr="00E01E44" w:rsidRDefault="00EC07E5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Expliquez votre réponse dans la colonne « Explication (3) ».</w:t>
      </w:r>
    </w:p>
    <w:p w14:paraId="6439D0AB" w14:textId="77777777" w:rsidR="00CA7DC1" w:rsidRPr="00CA7DC1" w:rsidRDefault="00CA7DC1" w:rsidP="00CA7DC1">
      <w:pPr>
        <w:pStyle w:val="ataNumberedList"/>
        <w:ind w:left="360"/>
        <w:rPr>
          <w:rFonts w:asciiTheme="majorHAnsi" w:hAnsiTheme="majorHAnsi" w:cs="Arial"/>
          <w:szCs w:val="24"/>
        </w:rPr>
      </w:pPr>
      <w:r>
        <w:rPr>
          <w:rFonts w:asciiTheme="majorHAnsi" w:hAnsiTheme="majorHAnsi"/>
        </w:rPr>
        <w:t xml:space="preserve">Soyez prêt à présenter vos réponses à la classe, à les expliquer et à en discuter. </w:t>
      </w:r>
    </w:p>
    <w:p w14:paraId="190720AB" w14:textId="77777777" w:rsidR="00CA7DC1" w:rsidRDefault="00CA7DC1" w:rsidP="00CA7DC1">
      <w:pPr>
        <w:pStyle w:val="ataNumberedList"/>
        <w:numPr>
          <w:ilvl w:val="0"/>
          <w:numId w:val="0"/>
        </w:numPr>
        <w:ind w:left="720" w:hanging="360"/>
        <w:rPr>
          <w:rFonts w:asciiTheme="majorHAnsi" w:hAnsiTheme="majorHAnsi"/>
          <w:szCs w:val="24"/>
        </w:rPr>
      </w:pPr>
    </w:p>
    <w:p w14:paraId="417CECDB" w14:textId="0417870C" w:rsidR="00CA7DC1" w:rsidRDefault="00CA7DC1" w:rsidP="00CA7DC1">
      <w:pPr>
        <w:pStyle w:val="Caption"/>
        <w:keepNext/>
      </w:pPr>
      <w:r>
        <w:t xml:space="preserve">Tableau 1 : Exercice sur le processus de renseignement </w:t>
      </w: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3685"/>
        <w:gridCol w:w="2156"/>
        <w:gridCol w:w="3509"/>
      </w:tblGrid>
      <w:tr w:rsidR="00314926" w:rsidRPr="00314926" w14:paraId="2070E659" w14:textId="77777777" w:rsidTr="78C7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9751E4" w14:textId="77777777" w:rsidR="00CA7DC1" w:rsidRPr="00314926" w:rsidRDefault="00CA7DC1" w:rsidP="00494127">
            <w:pPr>
              <w:pStyle w:val="Style15"/>
              <w:keepNext/>
              <w:spacing w:before="60" w:after="6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Scénario (1)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2D8AD7" w14:textId="7B965156" w:rsidR="00CA7DC1" w:rsidRPr="00314926" w:rsidRDefault="00314926" w:rsidP="00494127">
            <w:pPr>
              <w:pStyle w:val="Style15"/>
              <w:keepNext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Étape du processus de renseignement (2)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34536B" w14:textId="77777777" w:rsidR="00CA7DC1" w:rsidRPr="00314926" w:rsidRDefault="00314926" w:rsidP="00494127">
            <w:pPr>
              <w:pStyle w:val="Style15"/>
              <w:keepNext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Explication (3)</w:t>
            </w:r>
          </w:p>
        </w:tc>
      </w:tr>
      <w:tr w:rsidR="00CA7DC1" w:rsidRPr="00314926" w14:paraId="00B8601F" w14:textId="77777777" w:rsidTr="78C7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199D5" w14:textId="7B70244B" w:rsidR="00CA7DC1" w:rsidRPr="00314926" w:rsidRDefault="00494127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auto"/>
              </w:rPr>
              <w:t>Un commandant demande à un subalterne d’identifier combien d’installations gouvernementales essentielles se trouvent dans la région.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F11" w14:textId="7ED5DB78" w:rsidR="00CA7DC1" w:rsidRDefault="009E7D6B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  <w:i/>
                <w:color w:val="0000FF"/>
              </w:rPr>
              <w:t>Étape 2 : Orientation et planification</w:t>
            </w:r>
          </w:p>
          <w:p w14:paraId="619CDDF4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9FBC05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DB74E61" w14:textId="3316A1CF" w:rsidR="00582D68" w:rsidRP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C73" w14:textId="3EFAF1DF" w:rsidR="00CA7DC1" w:rsidRPr="00582D68" w:rsidRDefault="009E7D6B" w:rsidP="78C71B00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color w:val="0000FF"/>
              </w:rPr>
            </w:pPr>
            <w:r>
              <w:rPr>
                <w:rFonts w:asciiTheme="majorHAnsi" w:hAnsiTheme="majorHAnsi"/>
                <w:i/>
                <w:color w:val="0000FF"/>
              </w:rPr>
              <w:t xml:space="preserve">La tâche implique de collecter des informations ou de mener certaines activités. Le commandant d’unité a </w:t>
            </w:r>
            <w:proofErr w:type="spellStart"/>
            <w:r>
              <w:rPr>
                <w:rFonts w:asciiTheme="majorHAnsi" w:hAnsiTheme="majorHAnsi"/>
                <w:i/>
                <w:color w:val="0000FF"/>
              </w:rPr>
              <w:t>missioné</w:t>
            </w:r>
            <w:proofErr w:type="spellEnd"/>
            <w:r>
              <w:rPr>
                <w:rFonts w:asciiTheme="majorHAnsi" w:hAnsiTheme="majorHAnsi"/>
                <w:i/>
                <w:color w:val="0000FF"/>
              </w:rPr>
              <w:t xml:space="preserve"> le subalterne.</w:t>
            </w:r>
          </w:p>
        </w:tc>
      </w:tr>
      <w:tr w:rsidR="00CA7DC1" w:rsidRPr="00314926" w14:paraId="273A6B6C" w14:textId="77777777" w:rsidTr="78C7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EA8" w14:textId="3AE3AC12" w:rsidR="00CA7DC1" w:rsidRPr="00314926" w:rsidRDefault="00494127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La déclaration de mission indique que l'équipe doit protéger les installations gouvernementales essentielles des attentats terroristes.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E3F" w14:textId="77777777" w:rsidR="009E7D6B" w:rsidRPr="00314926" w:rsidRDefault="009E7D6B" w:rsidP="009E7D6B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00FF"/>
              </w:rPr>
            </w:pPr>
            <w:r>
              <w:rPr>
                <w:rFonts w:asciiTheme="majorHAnsi" w:hAnsiTheme="majorHAnsi"/>
                <w:i/>
                <w:color w:val="0000FF"/>
              </w:rPr>
              <w:t>Étape 1 : Besoins</w:t>
            </w:r>
          </w:p>
          <w:p w14:paraId="25F6B7E1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4F90696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14E5B19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B86" w14:textId="085E00E2" w:rsidR="00CA7DC1" w:rsidRPr="00582D68" w:rsidRDefault="009E7D6B" w:rsidP="004C3F4F">
            <w:pPr>
              <w:pStyle w:val="ATA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i/>
                <w:color w:val="0000FF"/>
              </w:rPr>
              <w:t>Les besoins devraient appuyer la mission de l'Unité de répression du terrorisme.</w:t>
            </w:r>
          </w:p>
        </w:tc>
      </w:tr>
      <w:tr w:rsidR="00CA7DC1" w:rsidRPr="00314926" w14:paraId="57386B35" w14:textId="77777777" w:rsidTr="00BB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D1078" w14:textId="2A5F5995" w:rsidR="00494127" w:rsidRDefault="00CA7DC1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lastRenderedPageBreak/>
              <w:t>Un analyste a dressé la liste des bâtiments et installations et les a classés en fonction de</w:t>
            </w:r>
            <w:r w:rsidR="00B07EDC">
              <w:rPr>
                <w:rFonts w:asciiTheme="majorHAnsi" w:hAnsiTheme="majorHAnsi"/>
                <w:color w:val="auto"/>
              </w:rPr>
              <w:t>s facteurs suivants</w:t>
            </w:r>
            <w:r>
              <w:rPr>
                <w:rFonts w:asciiTheme="majorHAnsi" w:hAnsiTheme="majorHAnsi"/>
                <w:color w:val="auto"/>
              </w:rPr>
              <w:t> :</w:t>
            </w:r>
          </w:p>
          <w:p w14:paraId="0E5A4763" w14:textId="14BB183D" w:rsidR="00494127" w:rsidRDefault="00494127" w:rsidP="00494127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La nature essentielle de leur fonction, telle qu’on la perçoit.</w:t>
            </w:r>
          </w:p>
          <w:p w14:paraId="60BF99B2" w14:textId="77777777" w:rsidR="00494127" w:rsidRDefault="00494127" w:rsidP="00494127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Le nombre de victimes potentielles qui peuvent s’y trouver à tout moment.</w:t>
            </w:r>
          </w:p>
          <w:p w14:paraId="0E3FB517" w14:textId="77777777" w:rsidR="00494127" w:rsidRDefault="00494127" w:rsidP="00494127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Leur importance symbolique.</w:t>
            </w:r>
          </w:p>
          <w:p w14:paraId="0737E814" w14:textId="258C5144" w:rsidR="00CA7DC1" w:rsidRPr="00314926" w:rsidRDefault="00494127" w:rsidP="4378FE90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Leur vulnérabilité aux attentats.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BB0" w14:textId="68B2636A" w:rsidR="00CA7DC1" w:rsidRDefault="009E7D6B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  <w:i/>
                <w:color w:val="0000FF"/>
              </w:rPr>
              <w:t>Étape 5 : Analyse et production</w:t>
            </w:r>
          </w:p>
          <w:p w14:paraId="5941495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8A893B5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6376A8F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6FFC7B2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D9C9FA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C3CCACB" w14:textId="79AE6392" w:rsidR="00582D68" w:rsidRP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BF8" w14:textId="1CD4283D" w:rsidR="00CA7DC1" w:rsidRPr="00582D68" w:rsidRDefault="009E7D6B" w:rsidP="78C71B00">
            <w:pPr>
              <w:pStyle w:val="ATA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FF"/>
              </w:rPr>
            </w:pPr>
            <w:r>
              <w:rPr>
                <w:rFonts w:asciiTheme="majorHAnsi" w:hAnsiTheme="majorHAnsi"/>
                <w:b/>
                <w:i/>
                <w:color w:val="0000FF"/>
              </w:rPr>
              <w:t>Le regroupement et l'analyse s’effectuent lorsqu’on compare les informations brutes collectées sur les bâtiments gouvernementaux à d'autres informations connues sur les objectifs, les motifs et les méthodes des terroristes, dans le but d'identifier les cibles étant les plus susceptibles de faire l’objet d’un attentat terroriste.</w:t>
            </w:r>
          </w:p>
        </w:tc>
      </w:tr>
      <w:tr w:rsidR="00CA7DC1" w:rsidRPr="00314926" w14:paraId="284704F5" w14:textId="77777777" w:rsidTr="78C71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C299" w14:textId="00CB7EE2" w:rsidR="00CA7DC1" w:rsidRPr="00314926" w:rsidRDefault="00CA7DC1" w:rsidP="00494127">
            <w:pPr>
              <w:pStyle w:val="ATAFacNotebullet1"/>
              <w:keepNext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Le commandant a fait parvenir un rapport de menace aux hauts fonctionnaires concernés, lequel décrit la menace en question et propose certaines mesures de sécurité à prendre en matière de lutte contre le terrorisme.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223" w14:textId="77777777" w:rsidR="009E7D6B" w:rsidRPr="00314926" w:rsidRDefault="009E7D6B" w:rsidP="009E7D6B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00FF"/>
              </w:rPr>
            </w:pPr>
            <w:r>
              <w:rPr>
                <w:rFonts w:asciiTheme="majorHAnsi" w:hAnsiTheme="majorHAnsi"/>
                <w:i/>
                <w:color w:val="0000FF"/>
              </w:rPr>
              <w:t>Étape 6 : Dissémination</w:t>
            </w:r>
          </w:p>
          <w:p w14:paraId="0DF3D202" w14:textId="77777777" w:rsidR="00CA7DC1" w:rsidRDefault="00CA7DC1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DCC6181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4C57659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E133105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14C5831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8E045AA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6A413F7" w14:textId="77777777" w:rsidR="00582D68" w:rsidRP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061" w14:textId="7848BF8E" w:rsidR="00CA7DC1" w:rsidRPr="00582D68" w:rsidRDefault="009E7D6B" w:rsidP="00BA070E">
            <w:pPr>
              <w:pStyle w:val="ATABody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i/>
                <w:color w:val="0000FF"/>
              </w:rPr>
              <w:t xml:space="preserve">En communiquant les résultats de ses efforts d’identification des installations gouvernementales les plus susceptibles d'être la cible d’un attentat terroriste, l’Unité de répression du terrorisme manifeste ses compétences professionnelles tout en </w:t>
            </w:r>
            <w:r w:rsidR="00BB4C44">
              <w:rPr>
                <w:rFonts w:asciiTheme="majorHAnsi" w:hAnsiTheme="majorHAnsi"/>
                <w:b/>
                <w:i/>
                <w:color w:val="0000FF"/>
              </w:rPr>
              <w:t>proposant</w:t>
            </w:r>
            <w:r>
              <w:rPr>
                <w:rFonts w:asciiTheme="majorHAnsi" w:hAnsiTheme="majorHAnsi"/>
                <w:b/>
                <w:i/>
                <w:color w:val="0000FF"/>
              </w:rPr>
              <w:t xml:space="preserve"> des actions supplémentaires pour mieux sécuriser les installations en question.</w:t>
            </w:r>
          </w:p>
        </w:tc>
      </w:tr>
      <w:tr w:rsidR="00CA7DC1" w:rsidRPr="00314926" w14:paraId="1FFD0E22" w14:textId="77777777" w:rsidTr="78C7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5FBED" w14:textId="7639BD1A" w:rsidR="00CA7DC1" w:rsidRPr="00314926" w:rsidRDefault="00CA7DC1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Un agent a préparé un rapport spécifiant l’emplacement, la taille, le nombre d’employés, le degré de facilitée d'accès du public ainsi que la fonction de tous les bâtiments et installations appartenant à l’État ou gérés par celui-ci dans la région.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952" w14:textId="77777777" w:rsidR="009E7D6B" w:rsidRPr="00314926" w:rsidRDefault="009E7D6B" w:rsidP="009E7D6B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00FF"/>
              </w:rPr>
            </w:pPr>
            <w:r>
              <w:rPr>
                <w:rFonts w:asciiTheme="majorHAnsi" w:hAnsiTheme="majorHAnsi"/>
                <w:i/>
                <w:color w:val="0000FF"/>
              </w:rPr>
              <w:t>Étape 4 : Traitement, organisation et évaluation :</w:t>
            </w:r>
          </w:p>
          <w:p w14:paraId="33DD72E9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18E1F0C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EDD59E1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E9E997A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BB2" w14:textId="26F52C43" w:rsidR="00CA7DC1" w:rsidRPr="00582D68" w:rsidRDefault="00BB4C44" w:rsidP="004C3F4F">
            <w:pPr>
              <w:pStyle w:val="ATA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i/>
                <w:color w:val="0000FF"/>
              </w:rPr>
              <w:t>La rédaction de</w:t>
            </w:r>
            <w:r w:rsidR="009E7D6B">
              <w:rPr>
                <w:rFonts w:asciiTheme="majorHAnsi" w:hAnsiTheme="majorHAnsi"/>
                <w:b/>
                <w:i/>
                <w:color w:val="0000FF"/>
              </w:rPr>
              <w:t xml:space="preserve"> rapport implique de </w:t>
            </w:r>
            <w:r>
              <w:rPr>
                <w:rFonts w:asciiTheme="majorHAnsi" w:hAnsiTheme="majorHAnsi"/>
                <w:b/>
                <w:i/>
                <w:color w:val="0000FF"/>
              </w:rPr>
              <w:t>noter</w:t>
            </w:r>
            <w:r w:rsidR="009E7D6B">
              <w:rPr>
                <w:rFonts w:asciiTheme="majorHAnsi" w:hAnsiTheme="majorHAnsi"/>
                <w:b/>
                <w:i/>
                <w:color w:val="0000FF"/>
              </w:rPr>
              <w:t xml:space="preserve"> les informations d'une manière prescrite qui permette de les saisir facilement et de les extraire ultérieurement de la base de données de l'Unité de répression.</w:t>
            </w:r>
          </w:p>
        </w:tc>
      </w:tr>
      <w:tr w:rsidR="00CA7DC1" w:rsidRPr="00314926" w14:paraId="795DC570" w14:textId="77777777" w:rsidTr="00B07EDC">
        <w:trPr>
          <w:trHeight w:val="2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F71B" w14:textId="77777777" w:rsidR="00CA7DC1" w:rsidRPr="00314926" w:rsidRDefault="00CA7DC1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lastRenderedPageBreak/>
              <w:t>Un agent a rassemblé des informations spécifiques sur tous les bâtiments et installations de l'État dans la région, notamment les lieux de résidence des hauts fonctionnaires ministériels.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39E" w14:textId="77777777" w:rsidR="009E7D6B" w:rsidRPr="00314926" w:rsidRDefault="009E7D6B" w:rsidP="009E7D6B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00FF"/>
              </w:rPr>
            </w:pPr>
            <w:r>
              <w:rPr>
                <w:rFonts w:asciiTheme="majorHAnsi" w:hAnsiTheme="majorHAnsi"/>
                <w:i/>
                <w:color w:val="0000FF"/>
              </w:rPr>
              <w:t>Étape 3 : Collecte</w:t>
            </w:r>
          </w:p>
          <w:p w14:paraId="422ED7EB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A1E3727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591EDBE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2A5A7096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2473D947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E68" w14:textId="7947E78C" w:rsidR="00CA7DC1" w:rsidRPr="00582D68" w:rsidRDefault="009E7D6B" w:rsidP="004C3F4F">
            <w:pPr>
              <w:pStyle w:val="ATA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i/>
                <w:color w:val="0000FF"/>
              </w:rPr>
              <w:t>Collecter des informations sur l’emplacement, la taille, le nombre d’employés, le degré de facilité d'accès pour le public ainsi que la fonction de tous les bâtiments et installations appartenant à l’État ou gérés par celui-ci dans la région.</w:t>
            </w:r>
          </w:p>
        </w:tc>
      </w:tr>
    </w:tbl>
    <w:p w14:paraId="1D6C5998" w14:textId="77777777" w:rsidR="00CA7DC1" w:rsidRDefault="00CA7DC1" w:rsidP="00CA7DC1">
      <w:pPr>
        <w:rPr>
          <w:rFonts w:asciiTheme="majorHAnsi" w:hAnsiTheme="majorHAnsi" w:cs="Arial"/>
        </w:rPr>
      </w:pPr>
    </w:p>
    <w:p w14:paraId="440D8896" w14:textId="77777777" w:rsidR="00BA070E" w:rsidRPr="00157B1E" w:rsidRDefault="00BA070E" w:rsidP="00CA7DC1">
      <w:pPr>
        <w:rPr>
          <w:rFonts w:asciiTheme="majorHAnsi" w:hAnsiTheme="majorHAnsi" w:cs="Arial"/>
        </w:rPr>
      </w:pPr>
    </w:p>
    <w:sectPr w:rsidR="00BA070E" w:rsidRPr="00157B1E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4E0C" w14:textId="77777777" w:rsidR="00473418" w:rsidRDefault="00473418" w:rsidP="00C82114">
      <w:r>
        <w:separator/>
      </w:r>
    </w:p>
  </w:endnote>
  <w:endnote w:type="continuationSeparator" w:id="0">
    <w:p w14:paraId="141B7D6F" w14:textId="77777777" w:rsidR="00473418" w:rsidRDefault="00473418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26591D" w:rsidRPr="0026591D" w14:paraId="761F4CE6" w14:textId="77777777" w:rsidTr="0026591D">
      <w:tc>
        <w:tcPr>
          <w:tcW w:w="8100" w:type="dxa"/>
        </w:tcPr>
        <w:p w14:paraId="7866F591" w14:textId="268C8322" w:rsidR="0026591D" w:rsidRPr="00C7023F" w:rsidRDefault="00010422" w:rsidP="00917EFF">
          <w:pPr>
            <w:pStyle w:val="ATAFooter"/>
            <w:rPr>
              <w:rStyle w:val="ATAFooterChar"/>
              <w:rFonts w:eastAsia="Arial Unicode MS"/>
              <w:lang w:val="en-US"/>
            </w:rPr>
          </w:pPr>
          <w:r>
            <w:rPr>
              <w:rStyle w:val="ATAFooterChar"/>
              <w:lang w:val="en-US"/>
            </w:rPr>
            <w:t>Interdicting</w:t>
          </w:r>
          <w:r w:rsidR="00CA7DC1" w:rsidRPr="00C7023F">
            <w:rPr>
              <w:rStyle w:val="ATAFooterChar"/>
              <w:lang w:val="en-US"/>
            </w:rPr>
            <w:t xml:space="preserve"> Terrorist Activities</w:t>
          </w:r>
          <w:r w:rsidR="003E2A4D" w:rsidRPr="00C7023F">
            <w:rPr>
              <w:rStyle w:val="ATAFooterChar"/>
              <w:lang w:val="en-US"/>
            </w:rPr>
            <w:t xml:space="preserve"> (ITA)</w:t>
          </w:r>
          <w:r w:rsidR="006005A0" w:rsidRPr="00C7023F">
            <w:rPr>
              <w:rStyle w:val="ATAFooterChar"/>
              <w:lang w:val="en-US"/>
            </w:rPr>
            <w:t xml:space="preserve"> </w:t>
          </w:r>
          <w:r w:rsidR="0026591D" w:rsidRPr="00C7023F">
            <w:rPr>
              <w:rStyle w:val="ATAFooterChar"/>
              <w:lang w:val="en-US"/>
            </w:rPr>
            <w:t>v</w:t>
          </w:r>
          <w:r w:rsidR="00D865C5" w:rsidRPr="00C7023F">
            <w:rPr>
              <w:rStyle w:val="ATAFooterChar"/>
              <w:lang w:val="en-US"/>
            </w:rPr>
            <w:t>5</w:t>
          </w:r>
          <w:r w:rsidR="0026591D" w:rsidRPr="00C7023F">
            <w:rPr>
              <w:rStyle w:val="ATAFooterChar"/>
              <w:lang w:val="en-US"/>
            </w:rPr>
            <w:t>.</w:t>
          </w:r>
          <w:r w:rsidR="00CA7DC1" w:rsidRPr="00C7023F">
            <w:rPr>
              <w:rStyle w:val="ATAFooterChar"/>
              <w:lang w:val="en-US"/>
            </w:rPr>
            <w:t>00</w:t>
          </w:r>
        </w:p>
      </w:tc>
      <w:tc>
        <w:tcPr>
          <w:tcW w:w="1260" w:type="dxa"/>
        </w:tcPr>
        <w:p w14:paraId="20E7C28D" w14:textId="6FF74B29" w:rsidR="0026591D" w:rsidRPr="0026591D" w:rsidRDefault="0026591D" w:rsidP="0026591D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PAGE </w:instrText>
          </w:r>
          <w:r w:rsidRPr="0026591D">
            <w:rPr>
              <w:rStyle w:val="ATAFooterChar"/>
              <w:rFonts w:eastAsia="Arial Unicode MS"/>
            </w:rPr>
            <w:fldChar w:fldCharType="separate"/>
          </w:r>
          <w:r w:rsidR="00041321">
            <w:rPr>
              <w:rStyle w:val="ATAFooterChar"/>
              <w:rFonts w:eastAsia="Arial Unicode MS"/>
            </w:rPr>
            <w:t>1</w:t>
          </w:r>
          <w:r w:rsidRPr="0026591D">
            <w:rPr>
              <w:rStyle w:val="ATAFooterChar"/>
              <w:rFonts w:eastAsia="Arial Unicode MS"/>
            </w:rPr>
            <w:fldChar w:fldCharType="end"/>
          </w:r>
          <w:r w:rsidR="00010422">
            <w:rPr>
              <w:rStyle w:val="ATAFooterChar"/>
              <w:rFonts w:eastAsia="Arial Unicode MS"/>
            </w:rPr>
            <w:t xml:space="preserve"> of </w:t>
          </w:r>
          <w:r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26591D">
            <w:rPr>
              <w:rStyle w:val="ATAFooterChar"/>
              <w:rFonts w:eastAsia="Arial Unicode MS"/>
            </w:rPr>
            <w:fldChar w:fldCharType="separate"/>
          </w:r>
          <w:r w:rsidR="00041321">
            <w:rPr>
              <w:rStyle w:val="ATAFooterChar"/>
              <w:rFonts w:eastAsia="Arial Unicode MS"/>
            </w:rPr>
            <w:t>2</w:t>
          </w:r>
          <w:r w:rsidRPr="0026591D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29D5FDCE" w14:textId="77777777" w:rsidR="00CE54B2" w:rsidRPr="00C7023F" w:rsidRDefault="00CE54B2" w:rsidP="00423B24">
    <w:pPr>
      <w:tabs>
        <w:tab w:val="right" w:pos="8640"/>
      </w:tabs>
      <w:jc w:val="center"/>
      <w:rPr>
        <w:rFonts w:eastAsia="Arial Unicode MS"/>
        <w:lang w:val="en-US"/>
      </w:rPr>
    </w:pPr>
    <w:r w:rsidRPr="00C7023F">
      <w:rPr>
        <w:rFonts w:ascii="Calibri" w:hAnsi="Calibri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C43E" w14:textId="77777777" w:rsidR="00473418" w:rsidRDefault="00473418" w:rsidP="00C82114">
      <w:r>
        <w:separator/>
      </w:r>
    </w:p>
  </w:footnote>
  <w:footnote w:type="continuationSeparator" w:id="0">
    <w:p w14:paraId="0F286EDB" w14:textId="77777777" w:rsidR="00473418" w:rsidRDefault="00473418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10"/>
      <w:gridCol w:w="4950"/>
    </w:tblGrid>
    <w:tr w:rsidR="000E67D7" w:rsidRPr="00C7023F" w14:paraId="353D6091" w14:textId="77777777" w:rsidTr="00637962">
      <w:tc>
        <w:tcPr>
          <w:tcW w:w="4410" w:type="dxa"/>
          <w:vAlign w:val="bottom"/>
        </w:tcPr>
        <w:p w14:paraId="3A49AD33" w14:textId="2F7A1D59" w:rsidR="000E67D7" w:rsidRPr="00C7023F" w:rsidRDefault="000E67D7" w:rsidP="000E67D7">
          <w:pPr>
            <w:pStyle w:val="ATAHeader"/>
            <w:rPr>
              <w:lang w:val="en-US"/>
            </w:rPr>
          </w:pPr>
          <w:r>
            <w:t xml:space="preserve">Module </w:t>
          </w:r>
          <w:r w:rsidR="00ED1D1F">
            <w:t>11</w:t>
          </w:r>
          <w:r>
            <w:t>: Fundamentals of Intelligence</w:t>
          </w:r>
        </w:p>
      </w:tc>
      <w:tc>
        <w:tcPr>
          <w:tcW w:w="4950" w:type="dxa"/>
          <w:vAlign w:val="bottom"/>
        </w:tcPr>
        <w:p w14:paraId="37864622" w14:textId="1C9A626E" w:rsidR="000E67D7" w:rsidRPr="00C7023F" w:rsidRDefault="000E67D7" w:rsidP="000E67D7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</w:t>
          </w:r>
          <w:r w:rsidR="00ED1D1F">
            <w:t>11</w:t>
          </w:r>
          <w:r>
            <w:t>.2:</w:t>
          </w:r>
          <w:r w:rsidR="00010422">
            <w:t xml:space="preserve"> </w:t>
          </w:r>
          <w:r>
            <w:t xml:space="preserve">Intelligence Process </w:t>
          </w:r>
          <w:proofErr w:type="spellStart"/>
          <w:r w:rsidR="00010422">
            <w:t>Exercise</w:t>
          </w:r>
          <w:proofErr w:type="spellEnd"/>
          <w:r w:rsidR="00010422">
            <w:t xml:space="preserve"> </w:t>
          </w:r>
          <w:proofErr w:type="spellStart"/>
          <w:r>
            <w:t>Answer</w:t>
          </w:r>
          <w:proofErr w:type="spellEnd"/>
          <w:r>
            <w:t xml:space="preserve"> Key</w:t>
          </w:r>
        </w:p>
      </w:tc>
    </w:tr>
  </w:tbl>
  <w:p w14:paraId="0EAE68D4" w14:textId="77777777" w:rsidR="00CE54B2" w:rsidRPr="00C7023F" w:rsidRDefault="00CE54B2" w:rsidP="0045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B7153"/>
    <w:multiLevelType w:val="hybridMultilevel"/>
    <w:tmpl w:val="68142466"/>
    <w:lvl w:ilvl="0" w:tplc="AA4C8F06">
      <w:start w:val="1"/>
      <w:numFmt w:val="bullet"/>
      <w:pStyle w:val="ATAFacNot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5ACF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55E"/>
    <w:multiLevelType w:val="hybridMultilevel"/>
    <w:tmpl w:val="722207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395259">
    <w:abstractNumId w:val="2"/>
  </w:num>
  <w:num w:numId="2" w16cid:durableId="1245987989">
    <w:abstractNumId w:val="5"/>
  </w:num>
  <w:num w:numId="3" w16cid:durableId="1809006794">
    <w:abstractNumId w:val="3"/>
  </w:num>
  <w:num w:numId="4" w16cid:durableId="428350328">
    <w:abstractNumId w:val="0"/>
  </w:num>
  <w:num w:numId="5" w16cid:durableId="651371340">
    <w:abstractNumId w:val="4"/>
  </w:num>
  <w:num w:numId="6" w16cid:durableId="108816430">
    <w:abstractNumId w:val="1"/>
  </w:num>
  <w:num w:numId="7" w16cid:durableId="171993305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3B"/>
    <w:rsid w:val="00004548"/>
    <w:rsid w:val="00004ABB"/>
    <w:rsid w:val="000055CB"/>
    <w:rsid w:val="0000604B"/>
    <w:rsid w:val="00006D61"/>
    <w:rsid w:val="00010422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1321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3E58"/>
    <w:rsid w:val="000862CA"/>
    <w:rsid w:val="000879BC"/>
    <w:rsid w:val="000904E7"/>
    <w:rsid w:val="00090D5C"/>
    <w:rsid w:val="00091597"/>
    <w:rsid w:val="00094604"/>
    <w:rsid w:val="000956B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AA5"/>
    <w:rsid w:val="000D4E8E"/>
    <w:rsid w:val="000D6923"/>
    <w:rsid w:val="000E053F"/>
    <w:rsid w:val="000E43A0"/>
    <w:rsid w:val="000E50CD"/>
    <w:rsid w:val="000E67D7"/>
    <w:rsid w:val="000F784C"/>
    <w:rsid w:val="001042E5"/>
    <w:rsid w:val="001063E0"/>
    <w:rsid w:val="0011397E"/>
    <w:rsid w:val="001142A3"/>
    <w:rsid w:val="00114911"/>
    <w:rsid w:val="00117566"/>
    <w:rsid w:val="001211DF"/>
    <w:rsid w:val="00123B7E"/>
    <w:rsid w:val="0012472D"/>
    <w:rsid w:val="00124ABF"/>
    <w:rsid w:val="00124F0D"/>
    <w:rsid w:val="001259FD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49BC"/>
    <w:rsid w:val="0016636E"/>
    <w:rsid w:val="00166677"/>
    <w:rsid w:val="0017029E"/>
    <w:rsid w:val="00172713"/>
    <w:rsid w:val="00173409"/>
    <w:rsid w:val="0017688C"/>
    <w:rsid w:val="001779F0"/>
    <w:rsid w:val="0018064C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DB4"/>
    <w:rsid w:val="001A77DA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2400"/>
    <w:rsid w:val="001E469C"/>
    <w:rsid w:val="001E4F4D"/>
    <w:rsid w:val="001F3EDA"/>
    <w:rsid w:val="001F5C04"/>
    <w:rsid w:val="001F6A3C"/>
    <w:rsid w:val="001F75B0"/>
    <w:rsid w:val="00202847"/>
    <w:rsid w:val="00204C5D"/>
    <w:rsid w:val="00205409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CC0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116E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4926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16F4"/>
    <w:rsid w:val="003822F0"/>
    <w:rsid w:val="00384DB7"/>
    <w:rsid w:val="00385980"/>
    <w:rsid w:val="00385B8F"/>
    <w:rsid w:val="00390366"/>
    <w:rsid w:val="0039251A"/>
    <w:rsid w:val="003A0135"/>
    <w:rsid w:val="003A46E2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A4D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43C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357"/>
    <w:rsid w:val="004175B6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3418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127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4075"/>
    <w:rsid w:val="004F5F0C"/>
    <w:rsid w:val="004F727F"/>
    <w:rsid w:val="005001B0"/>
    <w:rsid w:val="00500C6B"/>
    <w:rsid w:val="00503815"/>
    <w:rsid w:val="005120E9"/>
    <w:rsid w:val="0051521C"/>
    <w:rsid w:val="00521BC7"/>
    <w:rsid w:val="005259CD"/>
    <w:rsid w:val="00530BE7"/>
    <w:rsid w:val="00532B27"/>
    <w:rsid w:val="005335B1"/>
    <w:rsid w:val="00534537"/>
    <w:rsid w:val="00534D05"/>
    <w:rsid w:val="00535DBB"/>
    <w:rsid w:val="0054084B"/>
    <w:rsid w:val="005464BE"/>
    <w:rsid w:val="00547C01"/>
    <w:rsid w:val="00552238"/>
    <w:rsid w:val="00552DE1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82D68"/>
    <w:rsid w:val="00584385"/>
    <w:rsid w:val="0058573F"/>
    <w:rsid w:val="0058763F"/>
    <w:rsid w:val="005904E9"/>
    <w:rsid w:val="00592107"/>
    <w:rsid w:val="0059327E"/>
    <w:rsid w:val="00595179"/>
    <w:rsid w:val="00597365"/>
    <w:rsid w:val="005A2991"/>
    <w:rsid w:val="005A3490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3239"/>
    <w:rsid w:val="005F7C17"/>
    <w:rsid w:val="006005A0"/>
    <w:rsid w:val="00603F3E"/>
    <w:rsid w:val="00605193"/>
    <w:rsid w:val="0061194F"/>
    <w:rsid w:val="006142E9"/>
    <w:rsid w:val="00614472"/>
    <w:rsid w:val="006167DA"/>
    <w:rsid w:val="00621401"/>
    <w:rsid w:val="00621883"/>
    <w:rsid w:val="00622891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37962"/>
    <w:rsid w:val="006410BC"/>
    <w:rsid w:val="00641F39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697"/>
    <w:rsid w:val="006827E9"/>
    <w:rsid w:val="00684B5C"/>
    <w:rsid w:val="00692408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1985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6852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15F93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4249C"/>
    <w:rsid w:val="0085163B"/>
    <w:rsid w:val="00851E1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17EFF"/>
    <w:rsid w:val="00920C1C"/>
    <w:rsid w:val="009263DF"/>
    <w:rsid w:val="0092682C"/>
    <w:rsid w:val="00934215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70656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504D"/>
    <w:rsid w:val="009E7D6B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073B"/>
    <w:rsid w:val="00A15065"/>
    <w:rsid w:val="00A16C4E"/>
    <w:rsid w:val="00A33709"/>
    <w:rsid w:val="00A36A2B"/>
    <w:rsid w:val="00A4149B"/>
    <w:rsid w:val="00A42BAF"/>
    <w:rsid w:val="00A465D6"/>
    <w:rsid w:val="00A465E1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1538"/>
    <w:rsid w:val="00A966F5"/>
    <w:rsid w:val="00A96B11"/>
    <w:rsid w:val="00AA06A3"/>
    <w:rsid w:val="00AA18DB"/>
    <w:rsid w:val="00AA1F7C"/>
    <w:rsid w:val="00AA3B58"/>
    <w:rsid w:val="00AA42C8"/>
    <w:rsid w:val="00AB24FA"/>
    <w:rsid w:val="00AB2D94"/>
    <w:rsid w:val="00AB5D90"/>
    <w:rsid w:val="00AC20B1"/>
    <w:rsid w:val="00AD33B9"/>
    <w:rsid w:val="00AD4EEC"/>
    <w:rsid w:val="00AE2655"/>
    <w:rsid w:val="00AE7D14"/>
    <w:rsid w:val="00AF1D7A"/>
    <w:rsid w:val="00B030A0"/>
    <w:rsid w:val="00B07BCE"/>
    <w:rsid w:val="00B07EDC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FBF"/>
    <w:rsid w:val="00B839E7"/>
    <w:rsid w:val="00B84555"/>
    <w:rsid w:val="00B86CE9"/>
    <w:rsid w:val="00BA070E"/>
    <w:rsid w:val="00BA2EA6"/>
    <w:rsid w:val="00BA31E4"/>
    <w:rsid w:val="00BA40AF"/>
    <w:rsid w:val="00BA4668"/>
    <w:rsid w:val="00BB262E"/>
    <w:rsid w:val="00BB29EB"/>
    <w:rsid w:val="00BB4239"/>
    <w:rsid w:val="00BB4C44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E69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551"/>
    <w:rsid w:val="00C056FF"/>
    <w:rsid w:val="00C059E7"/>
    <w:rsid w:val="00C066C6"/>
    <w:rsid w:val="00C129EB"/>
    <w:rsid w:val="00C161B9"/>
    <w:rsid w:val="00C16905"/>
    <w:rsid w:val="00C16D31"/>
    <w:rsid w:val="00C217E4"/>
    <w:rsid w:val="00C24DA7"/>
    <w:rsid w:val="00C2563D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3BAD"/>
    <w:rsid w:val="00C67EA5"/>
    <w:rsid w:val="00C7023F"/>
    <w:rsid w:val="00C71ACF"/>
    <w:rsid w:val="00C72296"/>
    <w:rsid w:val="00C722F0"/>
    <w:rsid w:val="00C73950"/>
    <w:rsid w:val="00C73EC7"/>
    <w:rsid w:val="00C74CD4"/>
    <w:rsid w:val="00C74D8C"/>
    <w:rsid w:val="00C7587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A7DC1"/>
    <w:rsid w:val="00CB01A8"/>
    <w:rsid w:val="00CB1F8E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865C5"/>
    <w:rsid w:val="00D92839"/>
    <w:rsid w:val="00D96CA5"/>
    <w:rsid w:val="00D973DA"/>
    <w:rsid w:val="00DA1878"/>
    <w:rsid w:val="00DA468E"/>
    <w:rsid w:val="00DA4E10"/>
    <w:rsid w:val="00DB116B"/>
    <w:rsid w:val="00DB2F1E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6335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31CE"/>
    <w:rsid w:val="00E846C2"/>
    <w:rsid w:val="00E85BA4"/>
    <w:rsid w:val="00E86AFC"/>
    <w:rsid w:val="00E92F62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07E5"/>
    <w:rsid w:val="00EC1914"/>
    <w:rsid w:val="00EC4702"/>
    <w:rsid w:val="00ED1D1F"/>
    <w:rsid w:val="00ED4A3E"/>
    <w:rsid w:val="00ED6DE1"/>
    <w:rsid w:val="00EE590A"/>
    <w:rsid w:val="00EE65FC"/>
    <w:rsid w:val="00EE7DFC"/>
    <w:rsid w:val="00EF148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EF7B24"/>
    <w:rsid w:val="00F00B06"/>
    <w:rsid w:val="00F01D87"/>
    <w:rsid w:val="00F024EB"/>
    <w:rsid w:val="00F0304A"/>
    <w:rsid w:val="00F0372E"/>
    <w:rsid w:val="00F073BB"/>
    <w:rsid w:val="00F23F2F"/>
    <w:rsid w:val="00F30519"/>
    <w:rsid w:val="00F30745"/>
    <w:rsid w:val="00F3355E"/>
    <w:rsid w:val="00F36873"/>
    <w:rsid w:val="00F3729D"/>
    <w:rsid w:val="00F448D5"/>
    <w:rsid w:val="00F44B06"/>
    <w:rsid w:val="00F5175B"/>
    <w:rsid w:val="00F51FCC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021F"/>
    <w:rsid w:val="00F92EF9"/>
    <w:rsid w:val="00F93523"/>
    <w:rsid w:val="00FA3ED4"/>
    <w:rsid w:val="00FA4295"/>
    <w:rsid w:val="00FA7C44"/>
    <w:rsid w:val="00FB050F"/>
    <w:rsid w:val="00FB2503"/>
    <w:rsid w:val="00FB6846"/>
    <w:rsid w:val="00FC1C90"/>
    <w:rsid w:val="00FC284B"/>
    <w:rsid w:val="00FC3069"/>
    <w:rsid w:val="00FC60C9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  <w:rsid w:val="038425E0"/>
    <w:rsid w:val="1202F052"/>
    <w:rsid w:val="20DC9CBF"/>
    <w:rsid w:val="37C702C5"/>
    <w:rsid w:val="38E5AE5B"/>
    <w:rsid w:val="38F268C3"/>
    <w:rsid w:val="4378FE90"/>
    <w:rsid w:val="492DD69B"/>
    <w:rsid w:val="541294BA"/>
    <w:rsid w:val="78C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E6A860"/>
  <w15:docId w15:val="{005488A6-3B6E-423E-9940-AD0ACBBE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  <w:ind w:left="575" w:hanging="270"/>
    </w:pPr>
  </w:style>
  <w:style w:type="paragraph" w:customStyle="1" w:styleId="ATABodyBulletLevel02">
    <w:name w:val="ATA Body Bullet Level 02"/>
    <w:basedOn w:val="ATABodyBulletLevel01"/>
    <w:link w:val="ATABodyBulletLevel02Char"/>
    <w:rsid w:val="00FD30B0"/>
    <w:pPr>
      <w:spacing w:before="0"/>
      <w:ind w:left="734" w:hanging="360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  <w:ind w:left="305" w:hanging="270"/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rsid w:val="0085163B"/>
    <w:pPr>
      <w:numPr>
        <w:numId w:val="4"/>
      </w:numPr>
      <w:spacing w:before="120"/>
      <w:ind w:left="288" w:hanging="288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NumberedList">
    <w:name w:val="ataNumbered List"/>
    <w:basedOn w:val="Normal"/>
    <w:qFormat/>
    <w:rsid w:val="00CA7DC1"/>
    <w:pPr>
      <w:numPr>
        <w:numId w:val="5"/>
      </w:numPr>
    </w:pPr>
    <w:rPr>
      <w:rFonts w:ascii="Cambria" w:eastAsiaTheme="minorHAnsi" w:hAnsi="Cambria" w:cstheme="minorBidi"/>
      <w:szCs w:val="22"/>
    </w:rPr>
  </w:style>
  <w:style w:type="paragraph" w:customStyle="1" w:styleId="ATAFacNotebullet1">
    <w:name w:val="ATA Fac Note bullet 1"/>
    <w:basedOn w:val="Normal"/>
    <w:link w:val="ATAFacNotebullet1Char"/>
    <w:qFormat/>
    <w:rsid w:val="00CA7DC1"/>
    <w:pPr>
      <w:numPr>
        <w:numId w:val="6"/>
      </w:numPr>
    </w:pPr>
    <w:rPr>
      <w:b/>
      <w:bCs/>
    </w:rPr>
  </w:style>
  <w:style w:type="character" w:customStyle="1" w:styleId="ATAFacNotebullet1Char">
    <w:name w:val="ATA Fac Note bullet 1 Char"/>
    <w:link w:val="ATAFacNotebullet1"/>
    <w:rsid w:val="00CA7DC1"/>
    <w:rPr>
      <w:b/>
      <w:bCs/>
      <w:sz w:val="24"/>
      <w:szCs w:val="24"/>
    </w:rPr>
  </w:style>
  <w:style w:type="paragraph" w:customStyle="1" w:styleId="Style15">
    <w:name w:val="Style15"/>
    <w:basedOn w:val="BodyText"/>
    <w:rsid w:val="00CA7DC1"/>
    <w:pPr>
      <w:spacing w:after="0"/>
      <w:jc w:val="both"/>
    </w:pPr>
  </w:style>
  <w:style w:type="paragraph" w:styleId="BodyText">
    <w:name w:val="Body Text"/>
    <w:basedOn w:val="Normal"/>
    <w:link w:val="BodyTextChar"/>
    <w:uiPriority w:val="99"/>
    <w:semiHidden/>
    <w:unhideWhenUsed/>
    <w:rsid w:val="00CA7D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DC1"/>
    <w:rPr>
      <w:sz w:val="24"/>
      <w:szCs w:val="24"/>
    </w:rPr>
  </w:style>
  <w:style w:type="paragraph" w:styleId="Caption">
    <w:name w:val="caption"/>
    <w:basedOn w:val="Normal"/>
    <w:next w:val="Normal"/>
    <w:qFormat/>
    <w:rsid w:val="00CA7DC1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314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926"/>
  </w:style>
  <w:style w:type="table" w:styleId="MediumShading2-Accent6">
    <w:name w:val="Medium Shading 2 Accent 6"/>
    <w:basedOn w:val="TableNormal"/>
    <w:uiPriority w:val="64"/>
    <w:locked/>
    <w:rsid w:val="00314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B3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ona.sheppard\AppData\Roaming\Microsoft\Templates\addenda2013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Facilitator Handouts</Folders>
    <LS_x0020_Folder xmlns="0b39b100-34c8-42a1-9ad6-b6ff7a1420fd">EFG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4" ma:contentTypeDescription="Create a new document." ma:contentTypeScope="" ma:versionID="f24c34aab0660f0a25e527df2fa13008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f5170f65dfc9faf8b78789f239413d3f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lectronic Templates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articipant Workbook AK-47"/>
          <xsd:enumeration value="Participant Workbook M4"/>
          <xsd:enumeration value="Practical Exercise Handbook"/>
          <xsd:enumeration value="Plug &amp; Play AK-47"/>
          <xsd:enumeration value="Plug &amp; Play Driving"/>
          <xsd:enumeration value="Plug &amp; Play M4"/>
          <xsd:enumeration value="Pocket Guide"/>
          <xsd:enumeration value="Poster"/>
          <xsd:enumeration value="Range Book"/>
          <xsd:enumeration value="Refresher Video"/>
          <xsd:enumeration value="Role Players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5831-87F4-4DFD-A7E9-D263655E0E5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b39b100-34c8-42a1-9ad6-b6ff7a1420fd"/>
    <ds:schemaRef ds:uri="http://purl.org/dc/terms/"/>
    <ds:schemaRef ds:uri="67c3a874-3d5f-4ad1-9848-430308a359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2028F-A1DC-453D-ACC5-7642DBB72691}"/>
</file>

<file path=customXml/itemProps4.xml><?xml version="1.0" encoding="utf-8"?>
<ds:datastoreItem xmlns:ds="http://schemas.openxmlformats.org/officeDocument/2006/customXml" ds:itemID="{0805E748-773A-413F-ABAD-498F48BD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addenda2013</Template>
  <TotalTime>44</TotalTime>
  <Pages>3</Pages>
  <Words>556</Words>
  <Characters>3171</Characters>
  <Application>Microsoft Office Word</Application>
  <DocSecurity>0</DocSecurity>
  <Lines>26</Lines>
  <Paragraphs>7</Paragraphs>
  <ScaleCrop>false</ScaleCrop>
  <Company>Office of Antiterrorism Assistance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4: Fundamentals of Managing Intelligence</dc:title>
  <dc:subject>Investigating Terrorist Activities (ITA)</dc:subject>
  <dc:creator>ATA</dc:creator>
  <cp:lastModifiedBy>Blackwell, Charita D</cp:lastModifiedBy>
  <cp:revision>26</cp:revision>
  <cp:lastPrinted>2012-04-27T18:10:00Z</cp:lastPrinted>
  <dcterms:created xsi:type="dcterms:W3CDTF">2022-08-29T15:41:00Z</dcterms:created>
  <dcterms:modified xsi:type="dcterms:W3CDTF">2023-06-12T21:53:00Z</dcterms:modified>
  <cp:category>guide pratique 4.2 : RÉPONSES À L’Exercice SUR LE PROCESSUS DE RENSEIGNEMENT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2022-08-29T15:41:18Z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bc89b383-f949-44ce-8c37-26be09b94e48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false</vt:bool>
  </property>
  <property fmtid="{D5CDD505-2E9C-101B-9397-08002B2CF9AE}" pid="13" name="DateDue">
    <vt:filetime>2023-06-15T04:00:00Z</vt:filetime>
  </property>
</Properties>
</file>