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06FA9" w14:textId="77777777" w:rsidR="00EE7DFC" w:rsidRPr="00F72F27" w:rsidRDefault="004F18E5" w:rsidP="00E80349">
      <w:pPr>
        <w:pStyle w:val="ATAModuleTitle"/>
        <w:rPr>
          <w:b w:val="0"/>
          <w:bCs/>
          <w:sz w:val="25"/>
          <w:szCs w:val="25"/>
        </w:rPr>
      </w:pPr>
      <w:r>
        <w:rPr>
          <w:noProof/>
          <w:lang w:eastAsia="en-US" w:bidi="ar-SA"/>
        </w:rPr>
        <w:drawing>
          <wp:anchor distT="0" distB="0" distL="114300" distR="114300" simplePos="0" relativeHeight="251658240" behindDoc="0" locked="0" layoutInCell="1" allowOverlap="1" wp14:anchorId="118A7DDA" wp14:editId="090AE14D">
            <wp:simplePos x="0" y="0"/>
            <wp:positionH relativeFrom="column">
              <wp:posOffset>-7620</wp:posOffset>
            </wp:positionH>
            <wp:positionV relativeFrom="paragraph">
              <wp:posOffset>-635</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r>
        <w:rPr>
          <w:b w:val="0"/>
          <w:bCs/>
          <w:sz w:val="25"/>
          <w:szCs w:val="25"/>
        </w:rPr>
        <w:t>الكتيب</w:t>
      </w:r>
      <w:r w:rsidR="006C6419" w:rsidRPr="00F72F27">
        <w:rPr>
          <w:b w:val="0"/>
          <w:bCs/>
          <w:sz w:val="25"/>
          <w:szCs w:val="25"/>
        </w:rPr>
        <w:t xml:space="preserve"> 4.2: إرشادات بخصوص استخدام معدات غرفة الدرس</w:t>
      </w:r>
    </w:p>
    <w:tbl>
      <w:tblPr>
        <w:bidiVisual/>
        <w:tblW w:w="5000" w:type="pct"/>
        <w:tblCellMar>
          <w:left w:w="0" w:type="dxa"/>
          <w:right w:w="0" w:type="dxa"/>
        </w:tblCellMar>
        <w:tblLook w:val="04A0" w:firstRow="1" w:lastRow="0" w:firstColumn="1" w:lastColumn="0" w:noHBand="0" w:noVBand="1"/>
      </w:tblPr>
      <w:tblGrid>
        <w:gridCol w:w="2808"/>
        <w:gridCol w:w="6552"/>
      </w:tblGrid>
      <w:tr w:rsidR="00E565AC" w:rsidRPr="00F72F27" w14:paraId="6334F07B" w14:textId="77777777" w:rsidTr="00E565AC">
        <w:trPr>
          <w:cantSplit/>
        </w:trPr>
        <w:tc>
          <w:tcPr>
            <w:tcW w:w="1500" w:type="pct"/>
            <w:hideMark/>
          </w:tcPr>
          <w:p w14:paraId="1485905F" w14:textId="77777777" w:rsidR="00E565AC" w:rsidRPr="00F72F27" w:rsidRDefault="00E565AC">
            <w:pPr>
              <w:pStyle w:val="ATABody"/>
              <w:rPr>
                <w:b/>
                <w:sz w:val="25"/>
                <w:szCs w:val="25"/>
              </w:rPr>
            </w:pPr>
            <w:r w:rsidRPr="00F72F27">
              <w:rPr>
                <w:bCs/>
                <w:sz w:val="25"/>
                <w:szCs w:val="25"/>
              </w:rPr>
              <w:t>الغرض</w:t>
            </w:r>
            <w:r w:rsidRPr="00F72F27">
              <w:rPr>
                <w:b/>
                <w:sz w:val="25"/>
                <w:szCs w:val="25"/>
              </w:rPr>
              <w:t>:</w:t>
            </w:r>
          </w:p>
        </w:tc>
        <w:tc>
          <w:tcPr>
            <w:tcW w:w="3500" w:type="pct"/>
            <w:hideMark/>
          </w:tcPr>
          <w:p w14:paraId="19DA1415" w14:textId="77777777" w:rsidR="00E565AC" w:rsidRPr="00F72F27" w:rsidRDefault="00E565AC" w:rsidP="00E414B3">
            <w:pPr>
              <w:pStyle w:val="ATABody"/>
              <w:rPr>
                <w:b/>
                <w:sz w:val="25"/>
                <w:szCs w:val="25"/>
              </w:rPr>
            </w:pPr>
            <w:r w:rsidRPr="00F72F27">
              <w:rPr>
                <w:b/>
                <w:sz w:val="25"/>
                <w:szCs w:val="25"/>
              </w:rPr>
              <w:t>إن الغرض من وسيلة العمل المساعدة هو مساعدتكم على الإعداد لتقديم التدريب</w:t>
            </w:r>
          </w:p>
        </w:tc>
      </w:tr>
    </w:tbl>
    <w:p w14:paraId="672A6659" w14:textId="77777777" w:rsidR="00E414B3" w:rsidRPr="00F72F27" w:rsidRDefault="00E414B3" w:rsidP="00E414B3">
      <w:pPr>
        <w:pStyle w:val="ATABody"/>
        <w:rPr>
          <w:rFonts w:eastAsia="MS PGothic"/>
          <w:b/>
          <w:sz w:val="25"/>
          <w:szCs w:val="25"/>
        </w:rPr>
      </w:pPr>
    </w:p>
    <w:tbl>
      <w:tblPr>
        <w:bidiVisual/>
        <w:tblW w:w="0" w:type="auto"/>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9450"/>
      </w:tblGrid>
      <w:tr w:rsidR="00E414B3" w:rsidRPr="00F72F27" w14:paraId="6D18D11E" w14:textId="77777777" w:rsidTr="00EB7722">
        <w:trPr>
          <w:cantSplit/>
          <w:trHeight w:val="413"/>
        </w:trPr>
        <w:tc>
          <w:tcPr>
            <w:tcW w:w="9450" w:type="dxa"/>
            <w:tcBorders>
              <w:top w:val="single" w:sz="4" w:space="0" w:color="000000"/>
              <w:bottom w:val="single" w:sz="6" w:space="0" w:color="000000"/>
              <w:right w:val="single" w:sz="4" w:space="0" w:color="000000"/>
            </w:tcBorders>
            <w:shd w:val="clear" w:color="auto" w:fill="000000" w:themeFill="text1"/>
          </w:tcPr>
          <w:p w14:paraId="7B6146CC" w14:textId="77777777" w:rsidR="00E414B3" w:rsidRPr="00F72F27" w:rsidRDefault="00E414B3" w:rsidP="00EB7722">
            <w:pPr>
              <w:spacing w:before="40" w:after="40"/>
              <w:rPr>
                <w:bCs/>
                <w:color w:val="FFFFFF"/>
                <w:sz w:val="25"/>
                <w:szCs w:val="25"/>
              </w:rPr>
            </w:pPr>
            <w:r w:rsidRPr="00F72F27">
              <w:rPr>
                <w:bCs/>
                <w:color w:val="FFFFFF"/>
                <w:sz w:val="25"/>
                <w:szCs w:val="25"/>
              </w:rPr>
              <w:t>نصائح بخصوص</w:t>
            </w:r>
            <w:r w:rsidRPr="00F72F27">
              <w:rPr>
                <w:bCs/>
                <w:sz w:val="25"/>
                <w:szCs w:val="25"/>
              </w:rPr>
              <w:br w:type="page"/>
            </w:r>
            <w:r w:rsidRPr="00F72F27">
              <w:rPr>
                <w:bCs/>
                <w:color w:val="FFFFFF"/>
                <w:sz w:val="25"/>
                <w:szCs w:val="25"/>
              </w:rPr>
              <w:t xml:space="preserve"> تهيئة وتشغيل جهاز العرض (البروجكتور)</w:t>
            </w:r>
          </w:p>
        </w:tc>
      </w:tr>
      <w:tr w:rsidR="00E414B3" w:rsidRPr="00F72F27" w14:paraId="6FFF3EF1" w14:textId="77777777" w:rsidTr="00EB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32"/>
        </w:trPr>
        <w:tc>
          <w:tcPr>
            <w:tcW w:w="9450" w:type="dxa"/>
            <w:tcBorders>
              <w:top w:val="single" w:sz="6" w:space="0" w:color="000000"/>
              <w:left w:val="single" w:sz="4" w:space="0" w:color="000000"/>
              <w:bottom w:val="single" w:sz="4" w:space="0" w:color="auto"/>
              <w:right w:val="single" w:sz="4" w:space="0" w:color="000000"/>
            </w:tcBorders>
          </w:tcPr>
          <w:p w14:paraId="3E79A602"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F72F27">
              <w:rPr>
                <w:sz w:val="25"/>
                <w:szCs w:val="25"/>
              </w:rPr>
              <w:t>افحص المعدات.</w:t>
            </w:r>
            <w:r w:rsidRPr="00F72F27">
              <w:rPr>
                <w:b/>
                <w:bCs w:val="0"/>
                <w:sz w:val="25"/>
                <w:szCs w:val="25"/>
              </w:rPr>
              <w:t xml:space="preserve"> الوصول مبكراً وفحص المعدات. تحقق من سهولة قراءة المواد الإيضاحية المرئية من مواقع مختلفة في غرفة الدرس. اجلس في أماكن مختلفة، وتحقق من أن النص مقروء.</w:t>
            </w:r>
          </w:p>
          <w:p w14:paraId="590746D2"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F72F27">
              <w:rPr>
                <w:sz w:val="25"/>
                <w:szCs w:val="25"/>
              </w:rPr>
              <w:t>عدّل الصور المائلة</w:t>
            </w:r>
            <w:r w:rsidRPr="00F72F27">
              <w:rPr>
                <w:b/>
                <w:bCs w:val="0"/>
                <w:sz w:val="25"/>
                <w:szCs w:val="25"/>
              </w:rPr>
              <w:t>. تحقق من أن الصورة تملأ الشاشة، وعدّل جهاز العرض يدويا، أو استخدم خاصية المفتاح (</w:t>
            </w:r>
            <w:r w:rsidRPr="00F72F27">
              <w:rPr>
                <w:sz w:val="25"/>
                <w:szCs w:val="25"/>
                <w:rtl w:val="0"/>
              </w:rPr>
              <w:t>keystone</w:t>
            </w:r>
            <w:r w:rsidRPr="00F72F27">
              <w:rPr>
                <w:b/>
                <w:bCs w:val="0"/>
                <w:sz w:val="25"/>
                <w:szCs w:val="25"/>
              </w:rPr>
              <w:t xml:space="preserve">) للتحقق من أن الصورة ليست مائلة. كبّر الصورة بوضع جهاز العرض عند المسافة الصحيحة من الشاشة. </w:t>
            </w:r>
          </w:p>
          <w:p w14:paraId="0D36067A"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F72F27">
              <w:rPr>
                <w:sz w:val="25"/>
                <w:szCs w:val="25"/>
              </w:rPr>
              <w:t>أخفت الأضواء قدر الإمكان</w:t>
            </w:r>
            <w:r w:rsidRPr="00F72F27">
              <w:rPr>
                <w:b/>
                <w:bCs w:val="0"/>
                <w:sz w:val="25"/>
                <w:szCs w:val="25"/>
              </w:rPr>
              <w:t xml:space="preserve">. خفف أضواء الغرفة (ولكن لا تجعلها معتمة كثيرا). يفضل خفض حدة الإضاءة في الجزء الأمامي من الغرفة حيث توجد الشاشة. ثم إعادة الإضاءة القوية </w:t>
            </w:r>
            <w:proofErr w:type="spellStart"/>
            <w:r w:rsidRPr="00F72F27">
              <w:rPr>
                <w:b/>
                <w:bCs w:val="0"/>
                <w:sz w:val="25"/>
                <w:szCs w:val="25"/>
              </w:rPr>
              <w:t>لإستكمال</w:t>
            </w:r>
            <w:proofErr w:type="spellEnd"/>
            <w:r w:rsidRPr="00F72F27">
              <w:rPr>
                <w:b/>
                <w:bCs w:val="0"/>
                <w:sz w:val="25"/>
                <w:szCs w:val="25"/>
              </w:rPr>
              <w:t xml:space="preserve"> التمرين أو أثناء المناقشات. الغرف المعتمة لا تشجع على التفاعل بين </w:t>
            </w:r>
            <w:proofErr w:type="gramStart"/>
            <w:r w:rsidRPr="00F72F27">
              <w:rPr>
                <w:b/>
                <w:bCs w:val="0"/>
                <w:sz w:val="25"/>
                <w:szCs w:val="25"/>
              </w:rPr>
              <w:t>المشاركين</w:t>
            </w:r>
            <w:proofErr w:type="gramEnd"/>
            <w:r w:rsidRPr="00F72F27">
              <w:rPr>
                <w:b/>
                <w:bCs w:val="0"/>
                <w:sz w:val="25"/>
                <w:szCs w:val="25"/>
              </w:rPr>
              <w:t xml:space="preserve"> بل قد تشجعهم على النوم.</w:t>
            </w:r>
          </w:p>
          <w:p w14:paraId="531A6D3D"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F72F27">
              <w:rPr>
                <w:sz w:val="25"/>
                <w:szCs w:val="25"/>
              </w:rPr>
              <w:t xml:space="preserve">وفّر البدائل </w:t>
            </w:r>
            <w:proofErr w:type="spellStart"/>
            <w:r w:rsidRPr="00F72F27">
              <w:rPr>
                <w:sz w:val="25"/>
                <w:szCs w:val="25"/>
              </w:rPr>
              <w:t>الإحتياطية</w:t>
            </w:r>
            <w:proofErr w:type="spellEnd"/>
            <w:r w:rsidR="00F72F27">
              <w:rPr>
                <w:rFonts w:hint="cs"/>
                <w:b/>
                <w:bCs w:val="0"/>
                <w:sz w:val="25"/>
                <w:szCs w:val="25"/>
              </w:rPr>
              <w:t>.</w:t>
            </w:r>
            <w:r w:rsidRPr="00F72F27">
              <w:rPr>
                <w:b/>
                <w:bCs w:val="0"/>
                <w:sz w:val="25"/>
                <w:szCs w:val="25"/>
              </w:rPr>
              <w:t xml:space="preserve"> إذا كنت تستخدم جهاز العرض، فيجب توفير مصباح (لمبة) إضافية كاحتياط. يجب توافر نسخة إضافية من ملفات </w:t>
            </w:r>
            <w:proofErr w:type="spellStart"/>
            <w:r w:rsidRPr="00F72F27">
              <w:rPr>
                <w:b/>
                <w:bCs w:val="0"/>
                <w:sz w:val="25"/>
                <w:szCs w:val="25"/>
              </w:rPr>
              <w:t>الباور</w:t>
            </w:r>
            <w:proofErr w:type="spellEnd"/>
            <w:r w:rsidRPr="00F72F27">
              <w:rPr>
                <w:b/>
                <w:bCs w:val="0"/>
                <w:sz w:val="25"/>
                <w:szCs w:val="25"/>
              </w:rPr>
              <w:t xml:space="preserve"> بوينت. اعرف أن المعدات يمكن أن تتعطل، لذلك كن مستعدا لتقديم عرضك حتى بدون المعدات!</w:t>
            </w:r>
          </w:p>
        </w:tc>
      </w:tr>
    </w:tbl>
    <w:p w14:paraId="0A37501D" w14:textId="77777777" w:rsidR="00E414B3" w:rsidRPr="00F72F27" w:rsidRDefault="00E414B3" w:rsidP="00E414B3">
      <w:pPr>
        <w:pStyle w:val="ATABody"/>
        <w:rPr>
          <w:rFonts w:eastAsia="MS PGothic"/>
          <w:b/>
          <w:sz w:val="25"/>
          <w:szCs w:val="25"/>
        </w:rPr>
      </w:pPr>
    </w:p>
    <w:tbl>
      <w:tblPr>
        <w:bidiVisual/>
        <w:tblW w:w="0" w:type="auto"/>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9450"/>
      </w:tblGrid>
      <w:tr w:rsidR="00E414B3" w:rsidRPr="00F72F27" w14:paraId="4F26AF14" w14:textId="77777777" w:rsidTr="00EB7722">
        <w:trPr>
          <w:cantSplit/>
        </w:trPr>
        <w:tc>
          <w:tcPr>
            <w:tcW w:w="9450" w:type="dxa"/>
            <w:tcBorders>
              <w:top w:val="single" w:sz="4" w:space="0" w:color="000000"/>
              <w:bottom w:val="single" w:sz="6" w:space="0" w:color="000000"/>
              <w:right w:val="single" w:sz="4" w:space="0" w:color="000000"/>
            </w:tcBorders>
            <w:shd w:val="clear" w:color="auto" w:fill="000000" w:themeFill="text1"/>
          </w:tcPr>
          <w:p w14:paraId="751C5201" w14:textId="77777777" w:rsidR="00E414B3" w:rsidRPr="00F72F27" w:rsidRDefault="00E414B3" w:rsidP="00EB7722">
            <w:pPr>
              <w:spacing w:before="40" w:after="40"/>
              <w:rPr>
                <w:bCs/>
                <w:color w:val="FFFFFF"/>
                <w:sz w:val="25"/>
                <w:szCs w:val="25"/>
              </w:rPr>
            </w:pPr>
            <w:r w:rsidRPr="00F72F27">
              <w:rPr>
                <w:bCs/>
                <w:color w:val="FFFFFF"/>
                <w:sz w:val="25"/>
                <w:szCs w:val="25"/>
              </w:rPr>
              <w:t>نصائح بخصوص</w:t>
            </w:r>
            <w:r w:rsidRPr="00F72F27">
              <w:rPr>
                <w:bCs/>
                <w:sz w:val="25"/>
                <w:szCs w:val="25"/>
              </w:rPr>
              <w:br w:type="page"/>
            </w:r>
            <w:r w:rsidRPr="00F72F27">
              <w:rPr>
                <w:bCs/>
                <w:color w:val="FFFFFF"/>
                <w:sz w:val="25"/>
                <w:szCs w:val="25"/>
              </w:rPr>
              <w:t xml:space="preserve"> استخدام شرائح الباوربوينت بشكل فعال</w:t>
            </w:r>
          </w:p>
        </w:tc>
      </w:tr>
      <w:tr w:rsidR="00E414B3" w:rsidRPr="00F72F27" w14:paraId="2A6BE2B7" w14:textId="77777777" w:rsidTr="00963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65"/>
        </w:trPr>
        <w:tc>
          <w:tcPr>
            <w:tcW w:w="9450" w:type="dxa"/>
            <w:tcBorders>
              <w:top w:val="single" w:sz="6" w:space="0" w:color="000000"/>
              <w:left w:val="single" w:sz="4" w:space="0" w:color="000000"/>
              <w:bottom w:val="single" w:sz="4" w:space="0" w:color="auto"/>
              <w:right w:val="single" w:sz="4" w:space="0" w:color="000000"/>
            </w:tcBorders>
          </w:tcPr>
          <w:p w14:paraId="5DF6AB7E"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F72F27">
              <w:rPr>
                <w:sz w:val="25"/>
                <w:szCs w:val="25"/>
              </w:rPr>
              <w:t>اتخذ الوضع المناسب</w:t>
            </w:r>
            <w:r w:rsidRPr="00F72F27">
              <w:rPr>
                <w:b/>
                <w:bCs w:val="0"/>
                <w:sz w:val="25"/>
                <w:szCs w:val="25"/>
              </w:rPr>
              <w:t>. أجلس في أحد الجانبين (بدلا من القسم الأمامي) من المعدات أو الشاشة. خاطب المشاركين في الدورة، وليس الصورة المعروضة على الشاشة أو جهاز الحاسوب.</w:t>
            </w:r>
          </w:p>
          <w:p w14:paraId="70D47C69"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F72F27">
              <w:rPr>
                <w:sz w:val="25"/>
                <w:szCs w:val="25"/>
              </w:rPr>
              <w:t>استخدم الحركة</w:t>
            </w:r>
            <w:r w:rsidRPr="00F72F27">
              <w:rPr>
                <w:b/>
                <w:bCs w:val="0"/>
                <w:sz w:val="25"/>
                <w:szCs w:val="25"/>
              </w:rPr>
              <w:t>. فالحركة تجذب أنظار المشاهدين. يمكن الإشارة للشاشة عند الاقتضاء. قف ساكنا عندما تريد للمشاركين أن يقرؤوا الشاشة.</w:t>
            </w:r>
          </w:p>
          <w:p w14:paraId="7B911538"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F72F27">
              <w:rPr>
                <w:sz w:val="25"/>
                <w:szCs w:val="25"/>
              </w:rPr>
              <w:t>اختر سرعة الإلقاء المناسبة</w:t>
            </w:r>
            <w:r w:rsidRPr="00F72F27">
              <w:rPr>
                <w:b/>
                <w:bCs w:val="0"/>
                <w:sz w:val="25"/>
                <w:szCs w:val="25"/>
              </w:rPr>
              <w:t>. أثناء تقديم العرض، اترك الصورة على الشاشة فقط لما يكفي من الوقت كي يستوعب الحضور المعنى المقصود.</w:t>
            </w:r>
          </w:p>
          <w:p w14:paraId="42814910"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F72F27">
              <w:rPr>
                <w:sz w:val="25"/>
                <w:szCs w:val="25"/>
              </w:rPr>
              <w:t xml:space="preserve">استحوذ على </w:t>
            </w:r>
            <w:proofErr w:type="spellStart"/>
            <w:proofErr w:type="gramStart"/>
            <w:r w:rsidRPr="00F72F27">
              <w:rPr>
                <w:sz w:val="25"/>
                <w:szCs w:val="25"/>
              </w:rPr>
              <w:t>الإنتباه</w:t>
            </w:r>
            <w:proofErr w:type="spellEnd"/>
            <w:r w:rsidRPr="00F72F27">
              <w:rPr>
                <w:b/>
                <w:bCs w:val="0"/>
                <w:sz w:val="25"/>
                <w:szCs w:val="25"/>
              </w:rPr>
              <w:t xml:space="preserve"> </w:t>
            </w:r>
            <w:r w:rsidR="00F72F27">
              <w:rPr>
                <w:rFonts w:hint="cs"/>
                <w:b/>
                <w:bCs w:val="0"/>
                <w:sz w:val="25"/>
                <w:szCs w:val="25"/>
              </w:rPr>
              <w:t>.</w:t>
            </w:r>
            <w:r w:rsidRPr="00F72F27">
              <w:rPr>
                <w:b/>
                <w:bCs w:val="0"/>
                <w:sz w:val="25"/>
                <w:szCs w:val="25"/>
              </w:rPr>
              <w:t>أغلق</w:t>
            </w:r>
            <w:proofErr w:type="gramEnd"/>
            <w:r w:rsidRPr="00F72F27">
              <w:rPr>
                <w:b/>
                <w:bCs w:val="0"/>
                <w:sz w:val="25"/>
                <w:szCs w:val="25"/>
              </w:rPr>
              <w:t xml:space="preserve"> البروجكتور أو عتّم الشاشة عندما تكون غير مستخدمة.</w:t>
            </w:r>
          </w:p>
          <w:p w14:paraId="50F00EE6" w14:textId="77777777" w:rsidR="00E414B3" w:rsidRPr="00F72F27" w:rsidRDefault="00E414B3" w:rsidP="00963253">
            <w:pPr>
              <w:pStyle w:val="ATABodyBulletLevel01"/>
              <w:numPr>
                <w:ilvl w:val="0"/>
                <w:numId w:val="30"/>
              </w:numPr>
              <w:spacing w:beforeLines="20" w:before="48" w:afterLines="20" w:after="48"/>
              <w:ind w:left="360" w:right="0"/>
              <w:contextualSpacing/>
              <w:rPr>
                <w:b/>
                <w:bCs w:val="0"/>
                <w:sz w:val="25"/>
                <w:szCs w:val="25"/>
              </w:rPr>
            </w:pPr>
            <w:r w:rsidRPr="00F72F27">
              <w:rPr>
                <w:sz w:val="25"/>
                <w:szCs w:val="25"/>
              </w:rPr>
              <w:t>لخص - ولا تقرأ.</w:t>
            </w:r>
            <w:r w:rsidRPr="00F72F27">
              <w:rPr>
                <w:b/>
                <w:bCs w:val="0"/>
                <w:sz w:val="25"/>
                <w:szCs w:val="25"/>
              </w:rPr>
              <w:t xml:space="preserve"> لا تقرأ النص بصوت عال على الحضور من شريحة </w:t>
            </w:r>
            <w:proofErr w:type="spellStart"/>
            <w:r w:rsidRPr="00F72F27">
              <w:rPr>
                <w:b/>
                <w:bCs w:val="0"/>
                <w:sz w:val="25"/>
                <w:szCs w:val="25"/>
              </w:rPr>
              <w:t>الباور</w:t>
            </w:r>
            <w:proofErr w:type="spellEnd"/>
            <w:r w:rsidRPr="00F72F27">
              <w:rPr>
                <w:b/>
                <w:bCs w:val="0"/>
                <w:sz w:val="25"/>
                <w:szCs w:val="25"/>
              </w:rPr>
              <w:t xml:space="preserve"> بوينت. استخدم النقاط لتوجيه العرض.</w:t>
            </w:r>
          </w:p>
        </w:tc>
      </w:tr>
    </w:tbl>
    <w:p w14:paraId="5DAB6C7B" w14:textId="77777777" w:rsidR="00E414B3" w:rsidRPr="00F72F27" w:rsidRDefault="00E414B3" w:rsidP="00E414B3">
      <w:pPr>
        <w:pStyle w:val="ATABody"/>
        <w:rPr>
          <w:rFonts w:eastAsia="MS PGothic"/>
          <w:b/>
          <w:sz w:val="25"/>
          <w:szCs w:val="25"/>
        </w:rPr>
      </w:pPr>
    </w:p>
    <w:tbl>
      <w:tblPr>
        <w:bidiVisu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E414B3" w:rsidRPr="00F72F27" w14:paraId="6D7791B3" w14:textId="77777777" w:rsidTr="00EB7722">
        <w:tc>
          <w:tcPr>
            <w:tcW w:w="9468" w:type="dxa"/>
            <w:shd w:val="clear" w:color="auto" w:fill="000000" w:themeFill="text1"/>
          </w:tcPr>
          <w:p w14:paraId="4E9F80ED" w14:textId="77777777" w:rsidR="00E414B3" w:rsidRPr="00F72F27" w:rsidRDefault="00E414B3" w:rsidP="00EB7722">
            <w:pPr>
              <w:spacing w:before="40" w:after="40"/>
              <w:rPr>
                <w:bCs/>
                <w:color w:val="FFFFFF"/>
                <w:sz w:val="25"/>
                <w:szCs w:val="25"/>
              </w:rPr>
            </w:pPr>
            <w:r w:rsidRPr="00F72F27">
              <w:rPr>
                <w:bCs/>
                <w:sz w:val="25"/>
                <w:szCs w:val="25"/>
              </w:rPr>
              <w:br w:type="page"/>
            </w:r>
            <w:r w:rsidRPr="00F72F27">
              <w:rPr>
                <w:bCs/>
                <w:sz w:val="25"/>
                <w:szCs w:val="25"/>
              </w:rPr>
              <w:br w:type="page"/>
            </w:r>
            <w:r w:rsidRPr="00F72F27">
              <w:rPr>
                <w:bCs/>
                <w:color w:val="FFFFFF"/>
                <w:sz w:val="25"/>
                <w:szCs w:val="25"/>
              </w:rPr>
              <w:t>نصائح بخصوص تحضير أوراق اللوح</w:t>
            </w:r>
          </w:p>
        </w:tc>
      </w:tr>
      <w:tr w:rsidR="00E414B3" w:rsidRPr="00F72F27" w14:paraId="5C28E1A3" w14:textId="77777777" w:rsidTr="00EB7722">
        <w:tc>
          <w:tcPr>
            <w:tcW w:w="9468" w:type="dxa"/>
          </w:tcPr>
          <w:p w14:paraId="35BE63DC"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F72F27">
              <w:rPr>
                <w:sz w:val="25"/>
                <w:szCs w:val="25"/>
              </w:rPr>
              <w:t>استخدم قلم الرصاص أولا</w:t>
            </w:r>
            <w:r w:rsidRPr="00F72F27">
              <w:rPr>
                <w:b/>
                <w:bCs w:val="0"/>
                <w:sz w:val="25"/>
                <w:szCs w:val="25"/>
              </w:rPr>
              <w:t>. اكتب النص بخط خفيف بالقلم الرصاص قبل أن تستخدم القلم السميك.</w:t>
            </w:r>
          </w:p>
          <w:p w14:paraId="52C1F538"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F72F27">
              <w:rPr>
                <w:sz w:val="25"/>
                <w:szCs w:val="25"/>
              </w:rPr>
              <w:t>استخدم ألوانا داكنة لكتابة النص</w:t>
            </w:r>
            <w:r w:rsidRPr="00F72F27">
              <w:rPr>
                <w:b/>
                <w:bCs w:val="0"/>
                <w:sz w:val="25"/>
                <w:szCs w:val="25"/>
              </w:rPr>
              <w:t>. اللون الأسود والأزرق والأخضر والبني والبنفسجي كلها تظهر بوضوح وتسهل قراءتها. تجنب الألوان الفاتحة، التي تصعب قراءتها. استخدمها للتعليم فوق الكتابة (للتركيز عليها) فقط.</w:t>
            </w:r>
          </w:p>
          <w:p w14:paraId="77CBAFC5"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F72F27">
              <w:rPr>
                <w:sz w:val="25"/>
                <w:szCs w:val="25"/>
              </w:rPr>
              <w:t>بدّل الألوان بالتناوب من سطر إلى سطر</w:t>
            </w:r>
            <w:r w:rsidRPr="00F72F27">
              <w:rPr>
                <w:b/>
                <w:bCs w:val="0"/>
                <w:sz w:val="25"/>
                <w:szCs w:val="25"/>
              </w:rPr>
              <w:t>. استخدم هذا الأسلوب للفصل بين الأفكار أو المواضيع. هذا الأسلوب يجعل قراءة اللوح الورقي أسهل.</w:t>
            </w:r>
          </w:p>
          <w:p w14:paraId="4201F0C9"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F72F27">
              <w:rPr>
                <w:b/>
                <w:bCs w:val="0"/>
                <w:sz w:val="25"/>
                <w:szCs w:val="25"/>
              </w:rPr>
              <w:t>استخدم حروفا لا يقل طولها عن إنش واحد أو 2.5 سنتيمتر. الحروف الأصغر من ذلك تصعب قراءتها.</w:t>
            </w:r>
          </w:p>
          <w:p w14:paraId="16947D8D"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F72F27">
              <w:rPr>
                <w:sz w:val="25"/>
                <w:szCs w:val="25"/>
              </w:rPr>
              <w:t>اترك مساحة فارغة بين الأسطر</w:t>
            </w:r>
            <w:r w:rsidRPr="00F72F27">
              <w:rPr>
                <w:b/>
                <w:bCs w:val="0"/>
                <w:sz w:val="25"/>
                <w:szCs w:val="25"/>
              </w:rPr>
              <w:t>. من الصعب قراءة الأسطر المتقاربة جدا.</w:t>
            </w:r>
          </w:p>
          <w:p w14:paraId="1566BB2B"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F72F27">
              <w:rPr>
                <w:sz w:val="25"/>
                <w:szCs w:val="25"/>
              </w:rPr>
              <w:t>استخدم الثلثين العلويين من الورقة</w:t>
            </w:r>
            <w:r w:rsidRPr="00F72F27">
              <w:rPr>
                <w:b/>
                <w:bCs w:val="0"/>
                <w:sz w:val="25"/>
                <w:szCs w:val="25"/>
              </w:rPr>
              <w:t>. قد يكون من الصعب قراءة النص قرب أسفل الصفحة، خاصة للجالسين في مؤخرة الغرفة. كما أن هذا الأسلوب يوفر متسعا للعودة إلى النص في وقت لاحق، إن لزم الأمر، لإضافة شيء آخر متعلق بالموضوع.</w:t>
            </w:r>
          </w:p>
          <w:p w14:paraId="002AA99C"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3B16F3">
              <w:rPr>
                <w:sz w:val="25"/>
                <w:szCs w:val="25"/>
              </w:rPr>
              <w:t>أبرز النقاط الأساسية</w:t>
            </w:r>
            <w:r w:rsidRPr="00F72F27">
              <w:rPr>
                <w:b/>
                <w:bCs w:val="0"/>
                <w:sz w:val="25"/>
                <w:szCs w:val="25"/>
              </w:rPr>
              <w:t xml:space="preserve">. استخدم الألوان والأشكال والرسوم والمربعات والسطور تحت النص والصور لتركيز </w:t>
            </w:r>
            <w:proofErr w:type="spellStart"/>
            <w:r w:rsidRPr="00F72F27">
              <w:rPr>
                <w:b/>
                <w:bCs w:val="0"/>
                <w:sz w:val="25"/>
                <w:szCs w:val="25"/>
              </w:rPr>
              <w:t>الإنتباه</w:t>
            </w:r>
            <w:proofErr w:type="spellEnd"/>
            <w:r w:rsidRPr="00F72F27">
              <w:rPr>
                <w:b/>
                <w:bCs w:val="0"/>
                <w:sz w:val="25"/>
                <w:szCs w:val="25"/>
              </w:rPr>
              <w:t xml:space="preserve"> على النقاط الأساسية.</w:t>
            </w:r>
          </w:p>
          <w:p w14:paraId="777B8AE7"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3B16F3">
              <w:rPr>
                <w:sz w:val="25"/>
                <w:szCs w:val="25"/>
              </w:rPr>
              <w:lastRenderedPageBreak/>
              <w:t>استخدم أقل عدد ممكن من الكلمات</w:t>
            </w:r>
            <w:r w:rsidRPr="00F72F27">
              <w:rPr>
                <w:b/>
                <w:bCs w:val="0"/>
                <w:sz w:val="25"/>
                <w:szCs w:val="25"/>
              </w:rPr>
              <w:t xml:space="preserve">. كثرة الكلمات يمكن أن تشتت </w:t>
            </w:r>
            <w:proofErr w:type="spellStart"/>
            <w:r w:rsidRPr="00F72F27">
              <w:rPr>
                <w:b/>
                <w:bCs w:val="0"/>
                <w:sz w:val="25"/>
                <w:szCs w:val="25"/>
              </w:rPr>
              <w:t>الإنتباه</w:t>
            </w:r>
            <w:proofErr w:type="spellEnd"/>
            <w:r w:rsidRPr="00F72F27">
              <w:rPr>
                <w:b/>
                <w:bCs w:val="0"/>
                <w:sz w:val="25"/>
                <w:szCs w:val="25"/>
              </w:rPr>
              <w:t>.</w:t>
            </w:r>
          </w:p>
          <w:p w14:paraId="4729E8D8"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3B16F3">
              <w:rPr>
                <w:sz w:val="25"/>
                <w:szCs w:val="25"/>
              </w:rPr>
              <w:t>تحقق من سهولة القراءة.</w:t>
            </w:r>
            <w:r w:rsidRPr="00F72F27">
              <w:rPr>
                <w:b/>
                <w:bCs w:val="0"/>
                <w:sz w:val="25"/>
                <w:szCs w:val="25"/>
              </w:rPr>
              <w:t xml:space="preserve"> تجوّل في أجزاء مختلفة من الغرفة لتعرف ما إذا كان باستطاعة المشاركين أن يروا اللوح الورقي ويقرؤوه.</w:t>
            </w:r>
          </w:p>
          <w:p w14:paraId="3D42998B"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3B16F3">
              <w:rPr>
                <w:sz w:val="25"/>
                <w:szCs w:val="25"/>
              </w:rPr>
              <w:t>استخدم قطع شريط لاصق أو أوراق لاصقة</w:t>
            </w:r>
            <w:r w:rsidRPr="00F72F27">
              <w:rPr>
                <w:b/>
                <w:bCs w:val="0"/>
                <w:sz w:val="25"/>
                <w:szCs w:val="25"/>
              </w:rPr>
              <w:t>. ضع هذه الوريقات بحيث تسهّل عليك العثور على المكان الذي تريده أو العودة إلى صفحة معينة.</w:t>
            </w:r>
          </w:p>
          <w:p w14:paraId="50F97CAF"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3B16F3">
              <w:rPr>
                <w:sz w:val="25"/>
                <w:szCs w:val="25"/>
              </w:rPr>
              <w:t>استخدم ملاحظات مكتوبة بقلم رصاص</w:t>
            </w:r>
            <w:r w:rsidRPr="00F72F27">
              <w:rPr>
                <w:b/>
                <w:bCs w:val="0"/>
                <w:sz w:val="25"/>
                <w:szCs w:val="25"/>
              </w:rPr>
              <w:t>. يمكن لهذه الملاحظات أن تساعدك في إتمام الكتابة على اللوح الورقي من دون الرجوع إلى دليل المدرب لمعرفة التفاصيل.</w:t>
            </w:r>
          </w:p>
        </w:tc>
      </w:tr>
    </w:tbl>
    <w:p w14:paraId="02EB378F" w14:textId="77777777" w:rsidR="00E414B3" w:rsidRPr="00F72F27" w:rsidRDefault="00E414B3" w:rsidP="00E414B3">
      <w:pPr>
        <w:pStyle w:val="ATABody"/>
        <w:rPr>
          <w:rFonts w:eastAsia="MS PGothic"/>
          <w:b/>
          <w:sz w:val="25"/>
          <w:szCs w:val="25"/>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000" w:firstRow="0" w:lastRow="0" w:firstColumn="0" w:lastColumn="0" w:noHBand="0" w:noVBand="0"/>
      </w:tblPr>
      <w:tblGrid>
        <w:gridCol w:w="9450"/>
      </w:tblGrid>
      <w:tr w:rsidR="00E414B3" w:rsidRPr="00F72F27" w14:paraId="4E8539FA" w14:textId="77777777" w:rsidTr="00EB7722">
        <w:trPr>
          <w:cantSplit/>
        </w:trPr>
        <w:tc>
          <w:tcPr>
            <w:tcW w:w="9450" w:type="dxa"/>
            <w:shd w:val="clear" w:color="auto" w:fill="000000" w:themeFill="text1"/>
          </w:tcPr>
          <w:p w14:paraId="6F7E16C6" w14:textId="77777777" w:rsidR="00E414B3" w:rsidRPr="003B16F3" w:rsidRDefault="00E414B3" w:rsidP="00EB7722">
            <w:pPr>
              <w:spacing w:before="40" w:after="40"/>
              <w:rPr>
                <w:bCs/>
                <w:color w:val="FFFFFF"/>
                <w:sz w:val="25"/>
                <w:szCs w:val="25"/>
              </w:rPr>
            </w:pPr>
            <w:r w:rsidRPr="003B16F3">
              <w:rPr>
                <w:bCs/>
                <w:color w:val="FFFFFF"/>
                <w:sz w:val="25"/>
                <w:szCs w:val="25"/>
              </w:rPr>
              <w:t>نصائح بخصوص</w:t>
            </w:r>
            <w:r w:rsidRPr="003B16F3">
              <w:rPr>
                <w:bCs/>
                <w:sz w:val="25"/>
                <w:szCs w:val="25"/>
              </w:rPr>
              <w:br w:type="page"/>
            </w:r>
            <w:r w:rsidRPr="003B16F3">
              <w:rPr>
                <w:bCs/>
                <w:color w:val="FFFFFF"/>
                <w:sz w:val="25"/>
                <w:szCs w:val="25"/>
              </w:rPr>
              <w:t xml:space="preserve"> تدوين التعليقات على الألواح الورقية أو الألواح البيضاء</w:t>
            </w:r>
          </w:p>
        </w:tc>
      </w:tr>
      <w:tr w:rsidR="00E414B3" w:rsidRPr="00F72F27" w14:paraId="0044C570" w14:textId="77777777" w:rsidTr="00EB7722">
        <w:tc>
          <w:tcPr>
            <w:tcW w:w="9450" w:type="dxa"/>
          </w:tcPr>
          <w:p w14:paraId="0C7CE73E"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F72F27">
              <w:rPr>
                <w:b/>
                <w:bCs w:val="0"/>
                <w:sz w:val="25"/>
                <w:szCs w:val="25"/>
              </w:rPr>
              <w:t>لا تحجب رؤية المشاركين في الدورة. عندما تكتب على ورق اللوح أو اللوح الأبيض، قف جانباً بحيث لا تحجب قدرة المشاركين على رؤية ما تكتبه. وتحقق أيضا من أن منصة اللوح الورقي لا تعرقل أو تحجب معدات أخرى، مثل شاشات العرض أو شاشة الحاسوب.</w:t>
            </w:r>
          </w:p>
          <w:p w14:paraId="1F7A4015"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F72F27">
              <w:rPr>
                <w:b/>
                <w:bCs w:val="0"/>
                <w:sz w:val="25"/>
                <w:szCs w:val="25"/>
              </w:rPr>
              <w:t>اكتب بخط واضح عريض. اكتب بخط واضح عريض، لأن رؤيته أسهل. قد تكون الكتابة السريعة أسهل، لكن قراءتها أصعب. استخدم الطرف السميك في القلم عندما تكتب.</w:t>
            </w:r>
          </w:p>
          <w:p w14:paraId="0843BE33"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F72F27">
              <w:rPr>
                <w:b/>
                <w:bCs w:val="0"/>
                <w:sz w:val="25"/>
                <w:szCs w:val="25"/>
              </w:rPr>
              <w:t>سجل الكلمات الأساسية بسرعة. هذا الأسلوب يحافظ على انتباه المشاركين.</w:t>
            </w:r>
          </w:p>
          <w:p w14:paraId="40A43205"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F72F27">
              <w:rPr>
                <w:b/>
                <w:bCs w:val="0"/>
                <w:sz w:val="25"/>
                <w:szCs w:val="25"/>
              </w:rPr>
              <w:t>اكتب بالضبط ما يقوله المشاركون. لا تحوّر أو تغيّر معنى ما قاله الشخص. إذا لم تكن متأكدا من معنى ما قاله المشارك، اطلب مزيدا من التفسير. إذا كانت فكرة المشارك طويلة أو بحاجة إلى توضيح، اسأله/اسألها كيف يمكن صياغتها. تحقق من أنك تعكس الأفكار بالشكل الصحيح.</w:t>
            </w:r>
          </w:p>
          <w:p w14:paraId="615B2EBE"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F72F27">
              <w:rPr>
                <w:b/>
                <w:bCs w:val="0"/>
                <w:sz w:val="25"/>
                <w:szCs w:val="25"/>
              </w:rPr>
              <w:t>استخدم الأسهم والدوائر والخطوط تحت النص. هذه الأساليب تساعد في ترسيخ الأفكار وتشجع على المشاركة.</w:t>
            </w:r>
          </w:p>
          <w:p w14:paraId="6C13AC92"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F72F27">
              <w:rPr>
                <w:b/>
                <w:bCs w:val="0"/>
                <w:sz w:val="25"/>
                <w:szCs w:val="25"/>
              </w:rPr>
              <w:t>اقطع مسبقا قطعا من الشريط اللاصق المقمش (لتعليق أوراق اللوح). ضع قطعا من الشريط على ظهر منصة اللوح أو على طرفها. ضع قطع الشريط اللاصق على الزوايا العلوية للورقة قبل أن تنزعها من الدفتر.</w:t>
            </w:r>
          </w:p>
          <w:p w14:paraId="5E433C59"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F72F27">
              <w:rPr>
                <w:b/>
                <w:bCs w:val="0"/>
                <w:sz w:val="25"/>
                <w:szCs w:val="25"/>
              </w:rPr>
              <w:t>علق الأوراق على الحائط. بعد أن تكتب تعليقات المشاركين على ورق اللوح، انزع الورقة وعلقها على الحائط لتظل التعليقات مرئية طيلة الفصل. هذا الأسلوب يسهّل الرجوع إلى مناقشات سابقة. إذا كنت قد أعددت صفحة سوف ترجع لها طيلة الجلسة، علقها في مكان مركزي حيث تسهل رؤيتها على جميع المشاركين.</w:t>
            </w:r>
          </w:p>
          <w:p w14:paraId="5E39417C"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F72F27">
              <w:rPr>
                <w:b/>
                <w:bCs w:val="0"/>
                <w:sz w:val="25"/>
                <w:szCs w:val="25"/>
              </w:rPr>
              <w:t>استخدم لوحين ورقيين أو لوحين عاديين. اللوح الثاني مفيد عندما يتم نقاش أكثر من فكرة واحدة - مثلا، عند مناقشة محاسن ومساوئ أمر ما. إن ظهور القائمتين في وقت واحد سيساعدك ويساعد المشاركين على تتبع الأفكار.</w:t>
            </w:r>
          </w:p>
          <w:p w14:paraId="787E7DD3"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F72F27">
              <w:rPr>
                <w:b/>
                <w:bCs w:val="0"/>
                <w:sz w:val="25"/>
                <w:szCs w:val="25"/>
              </w:rPr>
              <w:t>اطلب من أحد الأشخاص أن يدوّن ما يجري. هذا الأسلوب يمنحك مزيدا من الحرية لتوجيه النقاش. إن استخدام مدوّن واحد أو أكثر سوف يزيد من مستوى المشاركة. تحقق من استئذان الشخص قبل أن تدعوه/تدعوها إلى التدوين.</w:t>
            </w:r>
          </w:p>
        </w:tc>
      </w:tr>
    </w:tbl>
    <w:p w14:paraId="6A05A809" w14:textId="77777777" w:rsidR="00E414B3" w:rsidRPr="00F72F27" w:rsidRDefault="00E414B3" w:rsidP="00E414B3">
      <w:pPr>
        <w:pStyle w:val="ATABody"/>
        <w:rPr>
          <w:rFonts w:eastAsia="MS PGothic"/>
          <w:b/>
          <w:sz w:val="25"/>
          <w:szCs w:val="25"/>
        </w:rPr>
      </w:pPr>
    </w:p>
    <w:tbl>
      <w:tblPr>
        <w:tblpPr w:leftFromText="180" w:rightFromText="180" w:vertAnchor="text" w:tblpX="-72" w:tblpY="1"/>
        <w:tblOverlap w:val="never"/>
        <w:bidiVisual/>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0"/>
      </w:tblGrid>
      <w:tr w:rsidR="00E414B3" w:rsidRPr="00F72F27" w14:paraId="34A34C11" w14:textId="77777777" w:rsidTr="00B66FF2">
        <w:tc>
          <w:tcPr>
            <w:tcW w:w="9630" w:type="dxa"/>
            <w:shd w:val="clear" w:color="auto" w:fill="000000" w:themeFill="text1"/>
          </w:tcPr>
          <w:p w14:paraId="460289F0" w14:textId="77777777" w:rsidR="00E414B3" w:rsidRPr="003B16F3" w:rsidRDefault="00E414B3" w:rsidP="00B66FF2">
            <w:pPr>
              <w:spacing w:before="60" w:after="60"/>
              <w:rPr>
                <w:bCs/>
                <w:color w:val="FFFFFF"/>
                <w:sz w:val="25"/>
                <w:szCs w:val="25"/>
              </w:rPr>
            </w:pPr>
            <w:r w:rsidRPr="003B16F3">
              <w:rPr>
                <w:bCs/>
                <w:sz w:val="25"/>
                <w:szCs w:val="25"/>
              </w:rPr>
              <w:br w:type="page"/>
            </w:r>
            <w:r w:rsidRPr="003B16F3">
              <w:rPr>
                <w:bCs/>
                <w:color w:val="FFFFFF"/>
                <w:sz w:val="25"/>
                <w:szCs w:val="25"/>
              </w:rPr>
              <w:t>نصائح بخصوص تقديم مقاطع الفيديو</w:t>
            </w:r>
          </w:p>
        </w:tc>
      </w:tr>
      <w:tr w:rsidR="00E414B3" w:rsidRPr="00F72F27" w14:paraId="4B56768C" w14:textId="77777777" w:rsidTr="00B66FF2">
        <w:tc>
          <w:tcPr>
            <w:tcW w:w="9630" w:type="dxa"/>
          </w:tcPr>
          <w:p w14:paraId="23FB84FE" w14:textId="77777777" w:rsidR="00E414B3" w:rsidRPr="00F72F27" w:rsidRDefault="00E414B3" w:rsidP="00B66FF2">
            <w:pPr>
              <w:pStyle w:val="ATABodyBulletLevel01"/>
              <w:numPr>
                <w:ilvl w:val="0"/>
                <w:numId w:val="30"/>
              </w:numPr>
              <w:spacing w:beforeLines="20" w:before="48" w:afterLines="20" w:after="48"/>
              <w:ind w:left="360" w:right="0"/>
              <w:contextualSpacing/>
              <w:rPr>
                <w:b/>
                <w:bCs w:val="0"/>
                <w:sz w:val="25"/>
                <w:szCs w:val="25"/>
              </w:rPr>
            </w:pPr>
            <w:r w:rsidRPr="003B16F3">
              <w:rPr>
                <w:sz w:val="25"/>
                <w:szCs w:val="25"/>
              </w:rPr>
              <w:t>حضّر لعرض شريط فيديو</w:t>
            </w:r>
            <w:r w:rsidRPr="00F72F27">
              <w:rPr>
                <w:b/>
                <w:bCs w:val="0"/>
                <w:sz w:val="25"/>
                <w:szCs w:val="25"/>
              </w:rPr>
              <w:t>. تأكد من معرفة كيفية استخدام المعدات. استعرض الشرائط كي تتفهم فحواها. راجع النقاط الأساسية في دليل المدرب وأضف أية نقاط أخرى ذات صلة بالفيديو.</w:t>
            </w:r>
          </w:p>
          <w:p w14:paraId="1BB299E7" w14:textId="77777777" w:rsidR="00E414B3" w:rsidRPr="00F72F27" w:rsidRDefault="00E414B3" w:rsidP="00B66FF2">
            <w:pPr>
              <w:pStyle w:val="ATABodyBulletLevel01"/>
              <w:numPr>
                <w:ilvl w:val="0"/>
                <w:numId w:val="30"/>
              </w:numPr>
              <w:spacing w:beforeLines="20" w:before="48" w:afterLines="20" w:after="48"/>
              <w:ind w:left="360" w:right="0"/>
              <w:contextualSpacing/>
              <w:rPr>
                <w:b/>
                <w:bCs w:val="0"/>
                <w:sz w:val="25"/>
                <w:szCs w:val="25"/>
              </w:rPr>
            </w:pPr>
            <w:r w:rsidRPr="003B16F3">
              <w:rPr>
                <w:sz w:val="25"/>
                <w:szCs w:val="25"/>
              </w:rPr>
              <w:t>قدّم التعليمات</w:t>
            </w:r>
            <w:r w:rsidRPr="00F72F27">
              <w:rPr>
                <w:b/>
                <w:bCs w:val="0"/>
                <w:sz w:val="25"/>
                <w:szCs w:val="25"/>
              </w:rPr>
              <w:t>. قبل عرض شريط الفيديو، بيّن للمشاركين ما الذي يجب أن ينتبهوا إليه، وما إذا كان عليهم أن يدونوا ملاحظات أثناء عرض الشريط، وما سيقومون به بعد مشاهدة الشريط (مثلا، تقييم أو انتقاد سلوك شخص معين في الشريط). أخبر المشاركين عن المدة التقريبية للشريط.</w:t>
            </w:r>
          </w:p>
          <w:p w14:paraId="0EF4B905" w14:textId="77777777" w:rsidR="00E414B3" w:rsidRPr="00F72F27" w:rsidRDefault="00E414B3" w:rsidP="00B66FF2">
            <w:pPr>
              <w:pStyle w:val="ATABodyBulletLevel01"/>
              <w:numPr>
                <w:ilvl w:val="0"/>
                <w:numId w:val="30"/>
              </w:numPr>
              <w:spacing w:beforeLines="20" w:before="48" w:afterLines="20" w:after="48"/>
              <w:ind w:left="360" w:right="0"/>
              <w:contextualSpacing/>
              <w:rPr>
                <w:b/>
                <w:bCs w:val="0"/>
                <w:sz w:val="25"/>
                <w:szCs w:val="25"/>
              </w:rPr>
            </w:pPr>
            <w:r w:rsidRPr="003B16F3">
              <w:rPr>
                <w:sz w:val="25"/>
                <w:szCs w:val="25"/>
              </w:rPr>
              <w:t>قدم عرض شريط الفيديو</w:t>
            </w:r>
            <w:r w:rsidRPr="00F72F27">
              <w:rPr>
                <w:b/>
                <w:bCs w:val="0"/>
                <w:sz w:val="25"/>
                <w:szCs w:val="25"/>
              </w:rPr>
              <w:t xml:space="preserve">. أمام الفصل وفي أثناء فترات الراحة، مع تجهيز شرائط الفيديو بحيث تكون جاهزة للعرض عند الطلب. يتم تعديل الصورة والصوت </w:t>
            </w:r>
            <w:r w:rsidR="003B16F3" w:rsidRPr="00F72F27">
              <w:rPr>
                <w:rFonts w:hint="cs"/>
                <w:b/>
                <w:bCs w:val="0"/>
                <w:sz w:val="25"/>
                <w:szCs w:val="25"/>
              </w:rPr>
              <w:t>والإضاءة</w:t>
            </w:r>
            <w:r w:rsidRPr="00F72F27">
              <w:rPr>
                <w:b/>
                <w:bCs w:val="0"/>
                <w:sz w:val="25"/>
                <w:szCs w:val="25"/>
              </w:rPr>
              <w:t xml:space="preserve"> في الغرفة.</w:t>
            </w:r>
          </w:p>
          <w:p w14:paraId="7D22FE24" w14:textId="77777777" w:rsidR="00E414B3" w:rsidRPr="00F72F27" w:rsidRDefault="00E414B3" w:rsidP="00B66FF2">
            <w:pPr>
              <w:pStyle w:val="ATABodyBulletLevel01"/>
              <w:numPr>
                <w:ilvl w:val="0"/>
                <w:numId w:val="30"/>
              </w:numPr>
              <w:spacing w:beforeLines="20" w:before="48" w:afterLines="20" w:after="48"/>
              <w:ind w:left="360" w:right="0"/>
              <w:contextualSpacing/>
              <w:rPr>
                <w:b/>
                <w:bCs w:val="0"/>
                <w:sz w:val="25"/>
                <w:szCs w:val="25"/>
              </w:rPr>
            </w:pPr>
            <w:r w:rsidRPr="003B16F3">
              <w:rPr>
                <w:sz w:val="25"/>
                <w:szCs w:val="25"/>
              </w:rPr>
              <w:t>قسّم مقاطع الفيديو الطويلة إلى أجزاء صغيرة.</w:t>
            </w:r>
            <w:r w:rsidRPr="00F72F27">
              <w:rPr>
                <w:b/>
                <w:bCs w:val="0"/>
                <w:sz w:val="25"/>
                <w:szCs w:val="25"/>
              </w:rPr>
              <w:t xml:space="preserve"> راقب رد فعل المشاركين أثناء عرض الفيديو. أوقف شريط الفيديو عند النقاط المناسبة لعمل التمارين أو لإجراء نقاشات. الشريط الذي يمكنه أن يحافظ على انتباه المشاركين لمدة أطول من 10 أو 15 دقيقة هو شريط رائع.</w:t>
            </w:r>
          </w:p>
          <w:p w14:paraId="0CEA78DF" w14:textId="77777777" w:rsidR="00E414B3" w:rsidRPr="00F72F27" w:rsidRDefault="00E414B3" w:rsidP="00B66FF2">
            <w:pPr>
              <w:pStyle w:val="ATABodyBulletLevel01"/>
              <w:numPr>
                <w:ilvl w:val="0"/>
                <w:numId w:val="30"/>
              </w:numPr>
              <w:spacing w:beforeLines="20" w:before="48" w:afterLines="20" w:after="48"/>
              <w:ind w:left="360" w:right="0"/>
              <w:contextualSpacing/>
              <w:rPr>
                <w:b/>
                <w:bCs w:val="0"/>
                <w:sz w:val="25"/>
                <w:szCs w:val="25"/>
              </w:rPr>
            </w:pPr>
            <w:r w:rsidRPr="003B16F3">
              <w:rPr>
                <w:sz w:val="25"/>
                <w:szCs w:val="25"/>
              </w:rPr>
              <w:t>تجنب أوقات الطاقة المنخفضة</w:t>
            </w:r>
            <w:r w:rsidR="003B16F3">
              <w:rPr>
                <w:rFonts w:hint="cs"/>
                <w:b/>
                <w:bCs w:val="0"/>
                <w:sz w:val="25"/>
                <w:szCs w:val="25"/>
              </w:rPr>
              <w:t>.</w:t>
            </w:r>
            <w:r w:rsidRPr="00F72F27">
              <w:rPr>
                <w:b/>
                <w:bCs w:val="0"/>
                <w:sz w:val="25"/>
                <w:szCs w:val="25"/>
              </w:rPr>
              <w:t xml:space="preserve"> تفادَ عرض الفيديو في أوقات الطاقة المنخفضة مثل التي تعقب تناول الطعام.</w:t>
            </w:r>
          </w:p>
          <w:p w14:paraId="1E18B379" w14:textId="77777777" w:rsidR="00E414B3" w:rsidRPr="00F72F27" w:rsidRDefault="00E414B3" w:rsidP="00B66FF2">
            <w:pPr>
              <w:pStyle w:val="ATABodyBulletLevel01"/>
              <w:numPr>
                <w:ilvl w:val="0"/>
                <w:numId w:val="30"/>
              </w:numPr>
              <w:spacing w:beforeLines="20" w:before="48" w:afterLines="20" w:after="48"/>
              <w:ind w:left="360" w:right="0"/>
              <w:contextualSpacing/>
              <w:rPr>
                <w:b/>
                <w:bCs w:val="0"/>
                <w:sz w:val="25"/>
                <w:szCs w:val="25"/>
              </w:rPr>
            </w:pPr>
            <w:r w:rsidRPr="003B16F3">
              <w:rPr>
                <w:sz w:val="25"/>
                <w:szCs w:val="25"/>
              </w:rPr>
              <w:lastRenderedPageBreak/>
              <w:t>لخص نقاط التعلم</w:t>
            </w:r>
            <w:r w:rsidRPr="00F72F27">
              <w:rPr>
                <w:b/>
                <w:bCs w:val="0"/>
                <w:sz w:val="25"/>
                <w:szCs w:val="25"/>
              </w:rPr>
              <w:t>. استخدم أسئلة المناقشة لتلخيص النقاط الرئيسية التي تريد للمشاركين أن يتذكروها من كل مقطع في الشريط.</w:t>
            </w:r>
          </w:p>
        </w:tc>
      </w:tr>
    </w:tbl>
    <w:p w14:paraId="5A39BBE3" w14:textId="77777777" w:rsidR="00E414B3" w:rsidRPr="00F72F27" w:rsidRDefault="00E414B3" w:rsidP="00E414B3">
      <w:pPr>
        <w:pStyle w:val="ATABody"/>
        <w:rPr>
          <w:rFonts w:eastAsia="MS PGothic"/>
          <w:b/>
          <w:sz w:val="25"/>
          <w:szCs w:val="25"/>
        </w:rPr>
      </w:pPr>
    </w:p>
    <w:tbl>
      <w:tblPr>
        <w:bidiVisu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50"/>
      </w:tblGrid>
      <w:tr w:rsidR="00E414B3" w:rsidRPr="00F72F27" w14:paraId="497F048F" w14:textId="77777777" w:rsidTr="1CA0E5F5">
        <w:trPr>
          <w:cantSplit/>
        </w:trPr>
        <w:tc>
          <w:tcPr>
            <w:tcW w:w="9450" w:type="dxa"/>
            <w:shd w:val="clear" w:color="auto" w:fill="000000" w:themeFill="text1"/>
          </w:tcPr>
          <w:p w14:paraId="7068CC5D" w14:textId="77777777" w:rsidR="00E414B3" w:rsidRPr="006632B8" w:rsidRDefault="00E414B3" w:rsidP="00EB7722">
            <w:pPr>
              <w:spacing w:before="60" w:after="60"/>
              <w:rPr>
                <w:bCs/>
                <w:color w:val="FFFFFF"/>
                <w:sz w:val="25"/>
                <w:szCs w:val="25"/>
              </w:rPr>
            </w:pPr>
            <w:r w:rsidRPr="006632B8">
              <w:rPr>
                <w:bCs/>
                <w:sz w:val="25"/>
                <w:szCs w:val="25"/>
              </w:rPr>
              <w:br w:type="page"/>
            </w:r>
            <w:r w:rsidRPr="006632B8">
              <w:rPr>
                <w:bCs/>
                <w:color w:val="FFFFFF"/>
                <w:sz w:val="25"/>
                <w:szCs w:val="25"/>
              </w:rPr>
              <w:t>نصائح بخصوص تقديم التعليقات والتقييم</w:t>
            </w:r>
          </w:p>
        </w:tc>
      </w:tr>
      <w:tr w:rsidR="00E414B3" w:rsidRPr="00F72F27" w14:paraId="2738A06B" w14:textId="77777777" w:rsidTr="1CA0E5F5">
        <w:trPr>
          <w:trHeight w:val="440"/>
        </w:trPr>
        <w:tc>
          <w:tcPr>
            <w:tcW w:w="9450" w:type="dxa"/>
          </w:tcPr>
          <w:p w14:paraId="16966323"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6632B8">
              <w:rPr>
                <w:sz w:val="25"/>
                <w:szCs w:val="25"/>
              </w:rPr>
              <w:t>احصل على إسهام من المشارك أولاً.</w:t>
            </w:r>
            <w:r w:rsidRPr="00F72F27">
              <w:rPr>
                <w:b/>
                <w:bCs w:val="0"/>
                <w:sz w:val="25"/>
                <w:szCs w:val="25"/>
              </w:rPr>
              <w:t xml:space="preserve"> اطلب من المشارك أولا أن ينتقد أو يقيّم أداءه (أداءها)، قبل أن تقدم تعليقاتك وتقييمك أنت.</w:t>
            </w:r>
          </w:p>
          <w:p w14:paraId="0BF82E0E"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6632B8">
              <w:rPr>
                <w:sz w:val="25"/>
                <w:szCs w:val="25"/>
              </w:rPr>
              <w:t>ابدأ بما هو إيجابي</w:t>
            </w:r>
            <w:r w:rsidRPr="00F72F27">
              <w:rPr>
                <w:b/>
                <w:bCs w:val="0"/>
                <w:sz w:val="25"/>
                <w:szCs w:val="25"/>
              </w:rPr>
              <w:t xml:space="preserve">. ابدأ تعليقاتك بشيء إيجابي. تحقق من التعليق على النقاط القوية لدى الشخص الذي تخاطبه. هناك دائما شيء جيد يمكن أن تشير إليه. </w:t>
            </w:r>
          </w:p>
          <w:p w14:paraId="1287DF14"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6632B8">
              <w:rPr>
                <w:sz w:val="25"/>
                <w:szCs w:val="25"/>
              </w:rPr>
              <w:t>كن صادقا.</w:t>
            </w:r>
            <w:r w:rsidRPr="00F72F27">
              <w:rPr>
                <w:b/>
                <w:bCs w:val="0"/>
                <w:sz w:val="25"/>
                <w:szCs w:val="25"/>
              </w:rPr>
              <w:t xml:space="preserve"> تذكر أننا نحاول التحقق من أن كل المشاركين سيمتلكون المهارات التي يحتاجونها لأداء مهام ضرورية تتعلق بوظيفتهم. وهذا الهدف مهم للغاية بحيث لا يجوز تجنب تقديم التعليقات الصادقة.</w:t>
            </w:r>
          </w:p>
          <w:p w14:paraId="698DA230"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6632B8">
              <w:rPr>
                <w:sz w:val="25"/>
                <w:szCs w:val="25"/>
              </w:rPr>
              <w:t>كن لبقا.</w:t>
            </w:r>
            <w:r w:rsidRPr="00F72F27">
              <w:rPr>
                <w:b/>
                <w:bCs w:val="0"/>
                <w:sz w:val="25"/>
                <w:szCs w:val="25"/>
              </w:rPr>
              <w:t xml:space="preserve"> عند صياغة تعليقاتك وتقييمك:</w:t>
            </w:r>
          </w:p>
          <w:p w14:paraId="1E0F9B1A" w14:textId="77777777" w:rsidR="00E414B3" w:rsidRPr="00F72F27" w:rsidRDefault="00E414B3" w:rsidP="00E414B3">
            <w:pPr>
              <w:pStyle w:val="ATABodyBulletLevel02"/>
              <w:numPr>
                <w:ilvl w:val="0"/>
                <w:numId w:val="30"/>
              </w:numPr>
              <w:spacing w:beforeLines="20" w:before="48" w:afterLines="20" w:after="48"/>
              <w:ind w:left="720"/>
              <w:contextualSpacing/>
              <w:rPr>
                <w:b/>
                <w:bCs w:val="0"/>
                <w:sz w:val="25"/>
                <w:szCs w:val="25"/>
              </w:rPr>
            </w:pPr>
            <w:r w:rsidRPr="00F72F27">
              <w:rPr>
                <w:b/>
                <w:bCs w:val="0"/>
                <w:sz w:val="25"/>
                <w:szCs w:val="25"/>
              </w:rPr>
              <w:t xml:space="preserve">استخدم تعابير محددة دقيقة. كلمات مثل "ضعيف" أو "غير فعال" هي ذات طابع عام للغاية. اشرح بالتفاصيل والأمثلة ما هو الضعيف أو غير الفعال. </w:t>
            </w:r>
          </w:p>
          <w:p w14:paraId="1F8E086A" w14:textId="77777777" w:rsidR="00E414B3" w:rsidRPr="00F72F27" w:rsidRDefault="00E414B3" w:rsidP="1CA0E5F5">
            <w:pPr>
              <w:pStyle w:val="ATABodyBulletLevel02"/>
              <w:spacing w:beforeLines="20" w:before="48" w:afterLines="20" w:after="48"/>
              <w:ind w:left="720"/>
              <w:contextualSpacing/>
              <w:rPr>
                <w:b/>
                <w:sz w:val="25"/>
                <w:szCs w:val="25"/>
              </w:rPr>
            </w:pPr>
            <w:r w:rsidRPr="1CA0E5F5">
              <w:rPr>
                <w:b/>
                <w:sz w:val="25"/>
                <w:szCs w:val="25"/>
              </w:rPr>
              <w:t>ركز على سلوك محدد، وليس على الشخص أو نواياه/نواياها. (تجنب: "كنت غير مهني ووقح." الأفضل: "عندما قلت،</w:t>
            </w:r>
            <w:proofErr w:type="gramStart"/>
            <w:r w:rsidRPr="1CA0E5F5">
              <w:rPr>
                <w:b/>
                <w:sz w:val="25"/>
                <w:szCs w:val="25"/>
              </w:rPr>
              <w:t xml:space="preserve"> ’أعرف</w:t>
            </w:r>
            <w:proofErr w:type="gramEnd"/>
            <w:r w:rsidRPr="1CA0E5F5">
              <w:rPr>
                <w:b/>
                <w:sz w:val="25"/>
                <w:szCs w:val="25"/>
              </w:rPr>
              <w:t xml:space="preserve"> أنك تكذب‘، أدى ذلك إلى إسكات الصف بأكمله، وفقدت التواصل والمودة معهم.")</w:t>
            </w:r>
          </w:p>
          <w:p w14:paraId="0270BA0C"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6632B8">
              <w:rPr>
                <w:sz w:val="25"/>
                <w:szCs w:val="25"/>
              </w:rPr>
              <w:t>رتب تعليقاتك حسب الأولوية</w:t>
            </w:r>
            <w:r w:rsidRPr="00F72F27">
              <w:rPr>
                <w:b/>
                <w:bCs w:val="0"/>
                <w:sz w:val="25"/>
                <w:szCs w:val="25"/>
              </w:rPr>
              <w:t xml:space="preserve">. إذا وجدت أن هناك مجالات كثيرة بحاجة إلى تحسين، فقد يكون من المفيد أحيانا تقسيم التعليقات والتقييم إلى قائمة من "الأمور الكبيرة" وقائمة من "الأمور الصغيرة." فكر في اختيار اثنين أو ثلاثة من "الأمور الكبيرة" لتركز عليها أثناء تعليقاتك وتقييمك. </w:t>
            </w:r>
          </w:p>
          <w:p w14:paraId="0DF50CC3" w14:textId="77777777" w:rsidR="00E414B3" w:rsidRPr="00F72F27" w:rsidRDefault="00E414B3" w:rsidP="00E414B3">
            <w:pPr>
              <w:pStyle w:val="ATABodyBulletLevel01"/>
              <w:numPr>
                <w:ilvl w:val="0"/>
                <w:numId w:val="30"/>
              </w:numPr>
              <w:spacing w:beforeLines="20" w:before="48" w:afterLines="20" w:after="48"/>
              <w:ind w:left="360" w:right="0"/>
              <w:contextualSpacing/>
              <w:rPr>
                <w:b/>
                <w:bCs w:val="0"/>
                <w:sz w:val="25"/>
                <w:szCs w:val="25"/>
              </w:rPr>
            </w:pPr>
            <w:r w:rsidRPr="006632B8">
              <w:rPr>
                <w:sz w:val="25"/>
                <w:szCs w:val="25"/>
              </w:rPr>
              <w:t>تحقق من أن المشارك قد فهم ما قلته.</w:t>
            </w:r>
            <w:r w:rsidRPr="00F72F27">
              <w:rPr>
                <w:b/>
                <w:bCs w:val="0"/>
                <w:sz w:val="25"/>
                <w:szCs w:val="25"/>
              </w:rPr>
              <w:t xml:space="preserve"> اطلب ردودا من ذلك الشخص بخصوص وضوح تعليقاتك. ("هل هذه النقاط منطقية؟" "هل هذه </w:t>
            </w:r>
            <w:proofErr w:type="spellStart"/>
            <w:r w:rsidRPr="00F72F27">
              <w:rPr>
                <w:b/>
                <w:bCs w:val="0"/>
                <w:sz w:val="25"/>
                <w:szCs w:val="25"/>
              </w:rPr>
              <w:t>الإقتراحات</w:t>
            </w:r>
            <w:proofErr w:type="spellEnd"/>
            <w:r w:rsidRPr="00F72F27">
              <w:rPr>
                <w:b/>
                <w:bCs w:val="0"/>
                <w:sz w:val="25"/>
                <w:szCs w:val="25"/>
              </w:rPr>
              <w:t xml:space="preserve"> مفيدة؟")</w:t>
            </w:r>
          </w:p>
        </w:tc>
      </w:tr>
    </w:tbl>
    <w:p w14:paraId="41C8F396" w14:textId="77777777" w:rsidR="00E414B3" w:rsidRPr="00F72F27" w:rsidRDefault="00E414B3" w:rsidP="00E414B3">
      <w:pPr>
        <w:pStyle w:val="ATABody"/>
        <w:rPr>
          <w:rFonts w:eastAsia="MS PGothic"/>
          <w:b/>
          <w:sz w:val="25"/>
          <w:szCs w:val="25"/>
        </w:rPr>
      </w:pPr>
    </w:p>
    <w:p w14:paraId="72A3D3EC" w14:textId="77777777" w:rsidR="00E414B3" w:rsidRPr="00F72F27" w:rsidRDefault="00E414B3" w:rsidP="00E414B3">
      <w:pPr>
        <w:pStyle w:val="ATANumLevel01BodySlide"/>
        <w:numPr>
          <w:ilvl w:val="0"/>
          <w:numId w:val="0"/>
        </w:numPr>
        <w:ind w:left="317" w:hanging="288"/>
        <w:rPr>
          <w:b/>
          <w:sz w:val="25"/>
          <w:szCs w:val="25"/>
        </w:rPr>
      </w:pPr>
    </w:p>
    <w:sectPr w:rsidR="00E414B3" w:rsidRPr="00F72F27" w:rsidSect="00D17B4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805D2" w14:textId="77777777" w:rsidR="009E6668" w:rsidRDefault="009E6668" w:rsidP="00C82114">
      <w:r>
        <w:separator/>
      </w:r>
    </w:p>
  </w:endnote>
  <w:endnote w:type="continuationSeparator" w:id="0">
    <w:p w14:paraId="463F29E8" w14:textId="77777777" w:rsidR="009E6668" w:rsidRDefault="009E6668"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0AD66" w14:textId="77777777" w:rsidR="00433301" w:rsidRDefault="004333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6124E2" w:rsidRPr="006124E2" w14:paraId="30D9ED42" w14:textId="77777777" w:rsidTr="00D3407F">
      <w:tc>
        <w:tcPr>
          <w:tcW w:w="8100" w:type="dxa"/>
          <w:shd w:val="clear" w:color="auto" w:fill="auto"/>
        </w:tcPr>
        <w:p w14:paraId="53539D20" w14:textId="77777777" w:rsidR="006124E2" w:rsidRPr="006124E2" w:rsidRDefault="003A3100" w:rsidP="006124E2">
          <w:pPr>
            <w:pStyle w:val="ATAFooter"/>
            <w:jc w:val="right"/>
            <w:rPr>
              <w:rStyle w:val="ATAFooterChar"/>
              <w:rFonts w:eastAsia="Arial Unicode MS"/>
              <w:color w:val="000000" w:themeColor="text1"/>
              <w:szCs w:val="18"/>
            </w:rPr>
          </w:pPr>
          <w:r>
            <w:rPr>
              <w:rFonts w:cs="Arial"/>
              <w:color w:val="000000" w:themeColor="text1"/>
              <w:szCs w:val="18"/>
            </w:rPr>
            <w:t xml:space="preserve">CISR </w:t>
          </w:r>
          <w:proofErr w:type="spellStart"/>
          <w:r>
            <w:rPr>
              <w:rFonts w:cs="Arial"/>
              <w:color w:val="000000" w:themeColor="text1"/>
              <w:szCs w:val="18"/>
            </w:rPr>
            <w:t>Train</w:t>
          </w:r>
          <w:proofErr w:type="spellEnd"/>
          <w:r>
            <w:rPr>
              <w:rFonts w:cs="Arial"/>
              <w:color w:val="000000" w:themeColor="text1"/>
              <w:szCs w:val="18"/>
            </w:rPr>
            <w:t xml:space="preserve"> </w:t>
          </w:r>
          <w:proofErr w:type="spellStart"/>
          <w:r>
            <w:rPr>
              <w:rFonts w:cs="Arial"/>
              <w:color w:val="000000" w:themeColor="text1"/>
              <w:szCs w:val="18"/>
            </w:rPr>
            <w:t>The</w:t>
          </w:r>
          <w:proofErr w:type="spellEnd"/>
          <w:r>
            <w:rPr>
              <w:rFonts w:cs="Arial"/>
              <w:color w:val="000000" w:themeColor="text1"/>
              <w:szCs w:val="18"/>
            </w:rPr>
            <w:t xml:space="preserve"> </w:t>
          </w:r>
          <w:proofErr w:type="spellStart"/>
          <w:r>
            <w:rPr>
              <w:rFonts w:cs="Arial"/>
              <w:color w:val="000000" w:themeColor="text1"/>
              <w:szCs w:val="18"/>
            </w:rPr>
            <w:t>Trainer</w:t>
          </w:r>
          <w:proofErr w:type="spellEnd"/>
          <w:r>
            <w:rPr>
              <w:rFonts w:cs="Arial"/>
              <w:color w:val="000000" w:themeColor="text1"/>
              <w:szCs w:val="18"/>
            </w:rPr>
            <w:t xml:space="preserve"> v1.00</w:t>
          </w:r>
        </w:p>
      </w:tc>
      <w:tc>
        <w:tcPr>
          <w:tcW w:w="1260" w:type="dxa"/>
          <w:shd w:val="clear" w:color="auto" w:fill="auto"/>
        </w:tcPr>
        <w:p w14:paraId="66126657" w14:textId="77777777" w:rsidR="006124E2" w:rsidRPr="00E310C5" w:rsidRDefault="006124E2" w:rsidP="006124E2">
          <w:pPr>
            <w:pStyle w:val="ATAFooter"/>
            <w:rPr>
              <w:rFonts w:asciiTheme="minorBidi" w:hAnsiTheme="minorBidi" w:cstheme="minorBidi"/>
              <w:szCs w:val="18"/>
            </w:rPr>
          </w:pPr>
          <w:proofErr w:type="spellStart"/>
          <w:r w:rsidRPr="00E310C5">
            <w:rPr>
              <w:rStyle w:val="ATAFooterChar"/>
              <w:rFonts w:asciiTheme="minorBidi" w:eastAsia="Arial Unicode MS" w:hAnsiTheme="minorBidi" w:cstheme="minorBidi"/>
              <w:szCs w:val="18"/>
            </w:rPr>
            <w:t>Page</w:t>
          </w:r>
          <w:proofErr w:type="spellEnd"/>
          <w:r w:rsidRPr="00E310C5">
            <w:rPr>
              <w:rStyle w:val="ATAFooterChar"/>
              <w:rFonts w:asciiTheme="minorBidi" w:eastAsia="Arial Unicode MS" w:hAnsiTheme="minorBidi" w:cstheme="minorBidi"/>
              <w:szCs w:val="18"/>
            </w:rPr>
            <w:t xml:space="preserve"> </w:t>
          </w:r>
          <w:r w:rsidRPr="00E310C5">
            <w:rPr>
              <w:rStyle w:val="ATAFooterChar"/>
              <w:rFonts w:asciiTheme="minorBidi" w:eastAsia="Arial Unicode MS" w:hAnsiTheme="minorBidi" w:cstheme="minorBidi"/>
              <w:szCs w:val="18"/>
            </w:rPr>
            <w:fldChar w:fldCharType="begin"/>
          </w:r>
          <w:r w:rsidRPr="00E310C5">
            <w:rPr>
              <w:rStyle w:val="ATAFooterChar"/>
              <w:rFonts w:asciiTheme="minorBidi" w:eastAsia="Arial Unicode MS" w:hAnsiTheme="minorBidi" w:cstheme="minorBidi"/>
              <w:szCs w:val="18"/>
            </w:rPr>
            <w:instrText xml:space="preserve"> PAGE </w:instrText>
          </w:r>
          <w:r w:rsidRPr="00E310C5">
            <w:rPr>
              <w:rStyle w:val="ATAFooterChar"/>
              <w:rFonts w:asciiTheme="minorBidi" w:eastAsia="Arial Unicode MS" w:hAnsiTheme="minorBidi" w:cstheme="minorBidi"/>
              <w:szCs w:val="18"/>
            </w:rPr>
            <w:fldChar w:fldCharType="separate"/>
          </w:r>
          <w:r w:rsidR="003A3100">
            <w:rPr>
              <w:rStyle w:val="ATAFooterChar"/>
              <w:rFonts w:asciiTheme="minorBidi" w:eastAsia="Arial Unicode MS" w:hAnsiTheme="minorBidi" w:cstheme="minorBidi"/>
              <w:noProof/>
              <w:szCs w:val="18"/>
            </w:rPr>
            <w:t>1</w:t>
          </w:r>
          <w:r w:rsidRPr="00E310C5">
            <w:rPr>
              <w:rStyle w:val="ATAFooterChar"/>
              <w:rFonts w:asciiTheme="minorBidi" w:eastAsia="Arial Unicode MS" w:hAnsiTheme="minorBidi" w:cstheme="minorBidi"/>
              <w:szCs w:val="18"/>
            </w:rPr>
            <w:fldChar w:fldCharType="end"/>
          </w:r>
          <w:r w:rsidRPr="00E310C5">
            <w:rPr>
              <w:rStyle w:val="ATAFooterChar"/>
              <w:rFonts w:asciiTheme="minorBidi" w:eastAsia="Arial Unicode MS" w:hAnsiTheme="minorBidi" w:cstheme="minorBidi"/>
              <w:szCs w:val="18"/>
            </w:rPr>
            <w:t xml:space="preserve"> </w:t>
          </w:r>
          <w:proofErr w:type="spellStart"/>
          <w:r w:rsidRPr="00E310C5">
            <w:rPr>
              <w:rStyle w:val="ATAFooterChar"/>
              <w:rFonts w:asciiTheme="minorBidi" w:eastAsia="Arial Unicode MS" w:hAnsiTheme="minorBidi" w:cstheme="minorBidi"/>
              <w:szCs w:val="18"/>
            </w:rPr>
            <w:t>of</w:t>
          </w:r>
          <w:proofErr w:type="spellEnd"/>
          <w:r w:rsidRPr="00E310C5">
            <w:rPr>
              <w:rStyle w:val="ATAFooterChar"/>
              <w:rFonts w:asciiTheme="minorBidi" w:eastAsia="Arial Unicode MS" w:hAnsiTheme="minorBidi" w:cstheme="minorBidi"/>
              <w:szCs w:val="18"/>
            </w:rPr>
            <w:t xml:space="preserve"> </w:t>
          </w:r>
          <w:r w:rsidRPr="00E310C5">
            <w:rPr>
              <w:rStyle w:val="ATAFooterChar"/>
              <w:rFonts w:asciiTheme="minorBidi" w:eastAsia="Arial Unicode MS" w:hAnsiTheme="minorBidi" w:cstheme="minorBidi"/>
              <w:szCs w:val="18"/>
            </w:rPr>
            <w:fldChar w:fldCharType="begin"/>
          </w:r>
          <w:r w:rsidRPr="00E310C5">
            <w:rPr>
              <w:rStyle w:val="ATAFooterChar"/>
              <w:rFonts w:asciiTheme="minorBidi" w:eastAsia="Arial Unicode MS" w:hAnsiTheme="minorBidi" w:cstheme="minorBidi"/>
              <w:szCs w:val="18"/>
            </w:rPr>
            <w:instrText xml:space="preserve"> NUMPAGES  \# "0"  \* MERGEFORMAT </w:instrText>
          </w:r>
          <w:r w:rsidRPr="00E310C5">
            <w:rPr>
              <w:rStyle w:val="ATAFooterChar"/>
              <w:rFonts w:asciiTheme="minorBidi" w:eastAsia="Arial Unicode MS" w:hAnsiTheme="minorBidi" w:cstheme="minorBidi"/>
              <w:szCs w:val="18"/>
            </w:rPr>
            <w:fldChar w:fldCharType="separate"/>
          </w:r>
          <w:r w:rsidR="003A3100">
            <w:rPr>
              <w:rStyle w:val="ATAFooterChar"/>
              <w:rFonts w:asciiTheme="minorBidi" w:eastAsia="Arial Unicode MS" w:hAnsiTheme="minorBidi" w:cstheme="minorBidi"/>
              <w:noProof/>
              <w:szCs w:val="18"/>
            </w:rPr>
            <w:t>4</w:t>
          </w:r>
          <w:r w:rsidRPr="00E310C5">
            <w:rPr>
              <w:rStyle w:val="ATAFooterChar"/>
              <w:rFonts w:asciiTheme="minorBidi" w:eastAsia="Arial Unicode MS" w:hAnsiTheme="minorBidi" w:cstheme="minorBidi"/>
              <w:szCs w:val="18"/>
            </w:rPr>
            <w:fldChar w:fldCharType="end"/>
          </w:r>
        </w:p>
      </w:tc>
    </w:tr>
  </w:tbl>
  <w:p w14:paraId="1E96DCAA" w14:textId="77777777" w:rsidR="006124E2" w:rsidRPr="006124E2" w:rsidRDefault="006124E2" w:rsidP="006124E2">
    <w:pPr>
      <w:tabs>
        <w:tab w:val="right" w:pos="8640"/>
      </w:tabs>
      <w:jc w:val="center"/>
      <w:rPr>
        <w:rFonts w:ascii="Arial" w:eastAsia="Arial Unicode MS" w:hAnsi="Arial" w:cs="Arial"/>
        <w:sz w:val="18"/>
        <w:szCs w:val="18"/>
      </w:rPr>
    </w:pPr>
    <w:r w:rsidRPr="006124E2">
      <w:rPr>
        <w:rFonts w:ascii="Arial" w:hAnsi="Arial" w:cs="Arial"/>
        <w:b/>
        <w:bCs/>
        <w:sz w:val="18"/>
        <w:szCs w:val="18"/>
      </w:rPr>
      <w:t>OFFICE OF ANTITERRORISM ASSISTANCE - FOR TRAINING PURPOSES ONLY</w:t>
    </w:r>
  </w:p>
  <w:p w14:paraId="738610EB" w14:textId="77777777" w:rsidR="008564F0" w:rsidRPr="006124E2" w:rsidRDefault="008564F0" w:rsidP="006124E2">
    <w:pPr>
      <w:pStyle w:val="Footer"/>
      <w:rPr>
        <w:rFonts w:eastAsia="Arial Unicode MS"/>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871BC" w14:textId="77777777" w:rsidR="00433301" w:rsidRDefault="004333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B4B86" w14:textId="77777777" w:rsidR="009E6668" w:rsidRDefault="009E6668" w:rsidP="00C82114">
      <w:r>
        <w:separator/>
      </w:r>
    </w:p>
  </w:footnote>
  <w:footnote w:type="continuationSeparator" w:id="0">
    <w:p w14:paraId="3A0FF5F2" w14:textId="77777777" w:rsidR="009E6668" w:rsidRDefault="009E6668" w:rsidP="00C82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F9E56" w14:textId="77777777" w:rsidR="00433301" w:rsidRDefault="004333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tblBorders>
        <w:bottom w:val="single" w:sz="4" w:space="0" w:color="auto"/>
      </w:tblBorders>
      <w:tblCellMar>
        <w:left w:w="0" w:type="dxa"/>
        <w:right w:w="0" w:type="dxa"/>
      </w:tblCellMar>
      <w:tblLook w:val="04A0" w:firstRow="1" w:lastRow="0" w:firstColumn="1" w:lastColumn="0" w:noHBand="0" w:noVBand="1"/>
    </w:tblPr>
    <w:tblGrid>
      <w:gridCol w:w="4680"/>
      <w:gridCol w:w="4680"/>
    </w:tblGrid>
    <w:tr w:rsidR="00E310C5" w:rsidRPr="00456B51" w14:paraId="6D3EE93F" w14:textId="77777777" w:rsidTr="00E310C5">
      <w:tc>
        <w:tcPr>
          <w:tcW w:w="4680" w:type="dxa"/>
          <w:vAlign w:val="bottom"/>
        </w:tcPr>
        <w:p w14:paraId="258A11D4" w14:textId="77777777" w:rsidR="00E310C5" w:rsidRPr="00E310C5" w:rsidRDefault="00B66FF2" w:rsidP="006124E2">
          <w:pPr>
            <w:pStyle w:val="ATAHeader"/>
            <w:rPr>
              <w:rFonts w:asciiTheme="minorBidi" w:hAnsiTheme="minorBidi" w:cstheme="minorBidi"/>
            </w:rPr>
          </w:pPr>
          <w:proofErr w:type="spellStart"/>
          <w:r>
            <w:rPr>
              <w:rFonts w:asciiTheme="minorBidi" w:hAnsiTheme="minorBidi" w:cstheme="minorBidi"/>
            </w:rPr>
            <w:t>Workbook</w:t>
          </w:r>
          <w:proofErr w:type="spellEnd"/>
          <w:r>
            <w:rPr>
              <w:rFonts w:asciiTheme="minorBidi" w:hAnsiTheme="minorBidi" w:cstheme="minorBidi"/>
            </w:rPr>
            <w:t xml:space="preserve"> 4.2: </w:t>
          </w:r>
          <w:proofErr w:type="spellStart"/>
          <w:r>
            <w:rPr>
              <w:rFonts w:asciiTheme="minorBidi" w:hAnsiTheme="minorBidi" w:cstheme="minorBidi"/>
            </w:rPr>
            <w:t>Guidelines</w:t>
          </w:r>
          <w:proofErr w:type="spellEnd"/>
          <w:r>
            <w:rPr>
              <w:rFonts w:asciiTheme="minorBidi" w:hAnsiTheme="minorBidi" w:cstheme="minorBidi"/>
            </w:rPr>
            <w:t xml:space="preserve"> </w:t>
          </w:r>
          <w:proofErr w:type="spellStart"/>
          <w:r>
            <w:rPr>
              <w:rFonts w:asciiTheme="minorBidi" w:hAnsiTheme="minorBidi" w:cstheme="minorBidi"/>
            </w:rPr>
            <w:t>for</w:t>
          </w:r>
          <w:proofErr w:type="spellEnd"/>
          <w:r>
            <w:rPr>
              <w:rFonts w:asciiTheme="minorBidi" w:hAnsiTheme="minorBidi" w:cstheme="minorBidi"/>
            </w:rPr>
            <w:t xml:space="preserve"> </w:t>
          </w:r>
          <w:proofErr w:type="spellStart"/>
          <w:r>
            <w:rPr>
              <w:rFonts w:asciiTheme="minorBidi" w:hAnsiTheme="minorBidi" w:cstheme="minorBidi"/>
            </w:rPr>
            <w:t>Classroom</w:t>
          </w:r>
          <w:proofErr w:type="spellEnd"/>
          <w:r>
            <w:rPr>
              <w:rFonts w:asciiTheme="minorBidi" w:hAnsiTheme="minorBidi" w:cstheme="minorBidi"/>
            </w:rPr>
            <w:t xml:space="preserve"> </w:t>
          </w:r>
          <w:proofErr w:type="spellStart"/>
          <w:r>
            <w:rPr>
              <w:rFonts w:asciiTheme="minorBidi" w:hAnsiTheme="minorBidi" w:cstheme="minorBidi"/>
            </w:rPr>
            <w:t>Equipment</w:t>
          </w:r>
          <w:proofErr w:type="spellEnd"/>
        </w:p>
      </w:tc>
      <w:tc>
        <w:tcPr>
          <w:tcW w:w="4680" w:type="dxa"/>
          <w:shd w:val="clear" w:color="auto" w:fill="auto"/>
          <w:vAlign w:val="bottom"/>
        </w:tcPr>
        <w:p w14:paraId="7C3957BF" w14:textId="77777777" w:rsidR="00E310C5" w:rsidRPr="00456B51" w:rsidRDefault="00E310C5" w:rsidP="006124E2">
          <w:pPr>
            <w:pStyle w:val="ATAHeader"/>
            <w:jc w:val="right"/>
          </w:pPr>
          <w:r>
            <w:rPr>
              <w:rtl w:val="0"/>
            </w:rPr>
            <w:t>Module 4: Preparing to Train</w:t>
          </w:r>
        </w:p>
      </w:tc>
    </w:tr>
  </w:tbl>
  <w:p w14:paraId="6DFB9E20" w14:textId="77777777" w:rsidR="008564F0" w:rsidRPr="00456B51" w:rsidRDefault="008564F0" w:rsidP="00264A72">
    <w:pPr>
      <w:pStyle w:val="ATABod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5D23" w14:textId="77777777" w:rsidR="00433301" w:rsidRDefault="004333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557D3"/>
    <w:multiLevelType w:val="hybridMultilevel"/>
    <w:tmpl w:val="A69648AC"/>
    <w:lvl w:ilvl="0" w:tplc="74E4B83A">
      <w:start w:val="1"/>
      <w:numFmt w:val="bullet"/>
      <w:lvlText w:val=""/>
      <w:lvlJc w:val="left"/>
      <w:pPr>
        <w:ind w:left="3488" w:hanging="360"/>
      </w:pPr>
      <w:rPr>
        <w:rFonts w:ascii="Wingdings" w:hAnsi="Wingdings" w:hint="default"/>
      </w:rPr>
    </w:lvl>
    <w:lvl w:ilvl="1" w:tplc="04090003" w:tentative="1">
      <w:start w:val="1"/>
      <w:numFmt w:val="bullet"/>
      <w:lvlText w:val="o"/>
      <w:lvlJc w:val="left"/>
      <w:pPr>
        <w:ind w:left="4208" w:hanging="360"/>
      </w:pPr>
      <w:rPr>
        <w:rFonts w:ascii="Courier New" w:hAnsi="Courier New" w:cs="Courier New" w:hint="default"/>
      </w:rPr>
    </w:lvl>
    <w:lvl w:ilvl="2" w:tplc="04090005" w:tentative="1">
      <w:start w:val="1"/>
      <w:numFmt w:val="bullet"/>
      <w:lvlText w:val=""/>
      <w:lvlJc w:val="left"/>
      <w:pPr>
        <w:ind w:left="4928" w:hanging="360"/>
      </w:pPr>
      <w:rPr>
        <w:rFonts w:ascii="Wingdings" w:hAnsi="Wingdings" w:hint="default"/>
      </w:rPr>
    </w:lvl>
    <w:lvl w:ilvl="3" w:tplc="04090001" w:tentative="1">
      <w:start w:val="1"/>
      <w:numFmt w:val="bullet"/>
      <w:lvlText w:val=""/>
      <w:lvlJc w:val="left"/>
      <w:pPr>
        <w:ind w:left="5648" w:hanging="360"/>
      </w:pPr>
      <w:rPr>
        <w:rFonts w:ascii="Symbol" w:hAnsi="Symbol" w:hint="default"/>
      </w:rPr>
    </w:lvl>
    <w:lvl w:ilvl="4" w:tplc="04090003" w:tentative="1">
      <w:start w:val="1"/>
      <w:numFmt w:val="bullet"/>
      <w:lvlText w:val="o"/>
      <w:lvlJc w:val="left"/>
      <w:pPr>
        <w:ind w:left="6368" w:hanging="360"/>
      </w:pPr>
      <w:rPr>
        <w:rFonts w:ascii="Courier New" w:hAnsi="Courier New" w:cs="Courier New" w:hint="default"/>
      </w:rPr>
    </w:lvl>
    <w:lvl w:ilvl="5" w:tplc="04090005" w:tentative="1">
      <w:start w:val="1"/>
      <w:numFmt w:val="bullet"/>
      <w:lvlText w:val=""/>
      <w:lvlJc w:val="left"/>
      <w:pPr>
        <w:ind w:left="7088" w:hanging="360"/>
      </w:pPr>
      <w:rPr>
        <w:rFonts w:ascii="Wingdings" w:hAnsi="Wingdings" w:hint="default"/>
      </w:rPr>
    </w:lvl>
    <w:lvl w:ilvl="6" w:tplc="04090001" w:tentative="1">
      <w:start w:val="1"/>
      <w:numFmt w:val="bullet"/>
      <w:lvlText w:val=""/>
      <w:lvlJc w:val="left"/>
      <w:pPr>
        <w:ind w:left="7808" w:hanging="360"/>
      </w:pPr>
      <w:rPr>
        <w:rFonts w:ascii="Symbol" w:hAnsi="Symbol" w:hint="default"/>
      </w:rPr>
    </w:lvl>
    <w:lvl w:ilvl="7" w:tplc="04090003" w:tentative="1">
      <w:start w:val="1"/>
      <w:numFmt w:val="bullet"/>
      <w:lvlText w:val="o"/>
      <w:lvlJc w:val="left"/>
      <w:pPr>
        <w:ind w:left="8528" w:hanging="360"/>
      </w:pPr>
      <w:rPr>
        <w:rFonts w:ascii="Courier New" w:hAnsi="Courier New" w:cs="Courier New" w:hint="default"/>
      </w:rPr>
    </w:lvl>
    <w:lvl w:ilvl="8" w:tplc="04090005" w:tentative="1">
      <w:start w:val="1"/>
      <w:numFmt w:val="bullet"/>
      <w:lvlText w:val=""/>
      <w:lvlJc w:val="left"/>
      <w:pPr>
        <w:ind w:left="9248" w:hanging="360"/>
      </w:pPr>
      <w:rPr>
        <w:rFonts w:ascii="Wingdings" w:hAnsi="Wingdings" w:hint="default"/>
      </w:rPr>
    </w:lvl>
  </w:abstractNum>
  <w:abstractNum w:abstractNumId="3" w15:restartNumberingAfterBreak="0">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15:restartNumberingAfterBreak="0">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BC56ABE"/>
    <w:multiLevelType w:val="hybridMultilevel"/>
    <w:tmpl w:val="8B22F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15:restartNumberingAfterBreak="0">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0F12683"/>
    <w:multiLevelType w:val="hybridMultilevel"/>
    <w:tmpl w:val="8D20762A"/>
    <w:lvl w:ilvl="0" w:tplc="9CD2AF60">
      <w:start w:val="1"/>
      <w:numFmt w:val="bullet"/>
      <w:pStyle w:val="ATABodyBulletLevel02"/>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2" w15:restartNumberingAfterBreak="0">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861E12"/>
    <w:multiLevelType w:val="hybridMultilevel"/>
    <w:tmpl w:val="80DE26B0"/>
    <w:lvl w:ilvl="0" w:tplc="DD70A4AA">
      <w:start w:val="1"/>
      <w:numFmt w:val="decimal"/>
      <w:pStyle w:val="ATANumLevel01BodySlide"/>
      <w:lvlText w:val="%1."/>
      <w:lvlJc w:val="left"/>
      <w:pPr>
        <w:ind w:left="389" w:hanging="360"/>
      </w:pPr>
    </w:lvl>
    <w:lvl w:ilvl="1" w:tplc="04090019">
      <w:start w:val="1"/>
      <w:numFmt w:val="lowerLetter"/>
      <w:lvlText w:val="%2."/>
      <w:lvlJc w:val="left"/>
      <w:pPr>
        <w:ind w:left="1109" w:hanging="360"/>
      </w:pPr>
    </w:lvl>
    <w:lvl w:ilvl="2" w:tplc="0409001B">
      <w:start w:val="1"/>
      <w:numFmt w:val="lowerRoman"/>
      <w:lvlText w:val="%3."/>
      <w:lvlJc w:val="right"/>
      <w:pPr>
        <w:ind w:left="1829" w:hanging="180"/>
      </w:pPr>
    </w:lvl>
    <w:lvl w:ilvl="3" w:tplc="0409000F">
      <w:start w:val="1"/>
      <w:numFmt w:val="decimal"/>
      <w:lvlText w:val="%4."/>
      <w:lvlJc w:val="left"/>
      <w:pPr>
        <w:ind w:left="2549" w:hanging="360"/>
      </w:pPr>
    </w:lvl>
    <w:lvl w:ilvl="4" w:tplc="04090019">
      <w:start w:val="1"/>
      <w:numFmt w:val="lowerLetter"/>
      <w:lvlText w:val="%5."/>
      <w:lvlJc w:val="left"/>
      <w:pPr>
        <w:ind w:left="3269" w:hanging="360"/>
      </w:pPr>
    </w:lvl>
    <w:lvl w:ilvl="5" w:tplc="0409001B">
      <w:start w:val="1"/>
      <w:numFmt w:val="lowerRoman"/>
      <w:lvlText w:val="%6."/>
      <w:lvlJc w:val="right"/>
      <w:pPr>
        <w:ind w:left="3989" w:hanging="180"/>
      </w:pPr>
    </w:lvl>
    <w:lvl w:ilvl="6" w:tplc="0409000F">
      <w:start w:val="1"/>
      <w:numFmt w:val="decimal"/>
      <w:lvlText w:val="%7."/>
      <w:lvlJc w:val="left"/>
      <w:pPr>
        <w:ind w:left="4709" w:hanging="360"/>
      </w:pPr>
    </w:lvl>
    <w:lvl w:ilvl="7" w:tplc="04090019">
      <w:start w:val="1"/>
      <w:numFmt w:val="lowerLetter"/>
      <w:lvlText w:val="%8."/>
      <w:lvlJc w:val="left"/>
      <w:pPr>
        <w:ind w:left="5429" w:hanging="360"/>
      </w:pPr>
    </w:lvl>
    <w:lvl w:ilvl="8" w:tplc="0409001B">
      <w:start w:val="1"/>
      <w:numFmt w:val="lowerRoman"/>
      <w:lvlText w:val="%9."/>
      <w:lvlJc w:val="right"/>
      <w:pPr>
        <w:ind w:left="6149" w:hanging="180"/>
      </w:pPr>
    </w:lvl>
  </w:abstractNum>
  <w:abstractNum w:abstractNumId="14" w15:restartNumberingAfterBreak="0">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707B9F"/>
    <w:multiLevelType w:val="hybridMultilevel"/>
    <w:tmpl w:val="68F03042"/>
    <w:lvl w:ilvl="0" w:tplc="CEEEF9C8">
      <w:start w:val="1"/>
      <w:numFmt w:val="bullet"/>
      <w:pStyle w:val="ATABodyBulletLevel0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857179"/>
    <w:multiLevelType w:val="hybridMultilevel"/>
    <w:tmpl w:val="830827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67D72A6"/>
    <w:multiLevelType w:val="hybridMultilevel"/>
    <w:tmpl w:val="0924EB10"/>
    <w:lvl w:ilvl="0" w:tplc="A64E724A">
      <w:start w:val="1"/>
      <w:numFmt w:val="bullet"/>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92324705">
    <w:abstractNumId w:val="7"/>
  </w:num>
  <w:num w:numId="2" w16cid:durableId="854852484">
    <w:abstractNumId w:val="11"/>
  </w:num>
  <w:num w:numId="3" w16cid:durableId="1093476173">
    <w:abstractNumId w:val="16"/>
  </w:num>
  <w:num w:numId="4" w16cid:durableId="942690763">
    <w:abstractNumId w:val="8"/>
  </w:num>
  <w:num w:numId="5" w16cid:durableId="1918635331">
    <w:abstractNumId w:val="4"/>
  </w:num>
  <w:num w:numId="6" w16cid:durableId="847447203">
    <w:abstractNumId w:val="10"/>
  </w:num>
  <w:num w:numId="7" w16cid:durableId="472797759">
    <w:abstractNumId w:val="9"/>
  </w:num>
  <w:num w:numId="8" w16cid:durableId="1631476605">
    <w:abstractNumId w:val="5"/>
  </w:num>
  <w:num w:numId="9" w16cid:durableId="610285544">
    <w:abstractNumId w:val="0"/>
  </w:num>
  <w:num w:numId="10" w16cid:durableId="1901289368">
    <w:abstractNumId w:val="15"/>
  </w:num>
  <w:num w:numId="11" w16cid:durableId="2135173760">
    <w:abstractNumId w:val="16"/>
  </w:num>
  <w:num w:numId="12" w16cid:durableId="2015107886">
    <w:abstractNumId w:val="16"/>
  </w:num>
  <w:num w:numId="13" w16cid:durableId="1970669984">
    <w:abstractNumId w:val="11"/>
  </w:num>
  <w:num w:numId="14" w16cid:durableId="2141260561">
    <w:abstractNumId w:val="19"/>
  </w:num>
  <w:num w:numId="15" w16cid:durableId="31393099">
    <w:abstractNumId w:val="12"/>
  </w:num>
  <w:num w:numId="16" w16cid:durableId="1115834862">
    <w:abstractNumId w:val="20"/>
  </w:num>
  <w:num w:numId="17" w16cid:durableId="187527343">
    <w:abstractNumId w:val="20"/>
    <w:lvlOverride w:ilvl="0">
      <w:startOverride w:val="1"/>
    </w:lvlOverride>
  </w:num>
  <w:num w:numId="18" w16cid:durableId="1866482722">
    <w:abstractNumId w:val="19"/>
  </w:num>
  <w:num w:numId="19" w16cid:durableId="1800295619">
    <w:abstractNumId w:val="3"/>
  </w:num>
  <w:num w:numId="20" w16cid:durableId="1846749019">
    <w:abstractNumId w:val="20"/>
  </w:num>
  <w:num w:numId="21" w16cid:durableId="1492789052">
    <w:abstractNumId w:val="1"/>
  </w:num>
  <w:num w:numId="22" w16cid:durableId="1985619931">
    <w:abstractNumId w:val="14"/>
  </w:num>
  <w:num w:numId="23" w16cid:durableId="919826346">
    <w:abstractNumId w:val="17"/>
  </w:num>
  <w:num w:numId="24" w16cid:durableId="1209612504">
    <w:abstractNumId w:val="18"/>
  </w:num>
  <w:num w:numId="25" w16cid:durableId="629432514">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66399528">
    <w:abstractNumId w:val="6"/>
  </w:num>
  <w:num w:numId="27" w16cid:durableId="13385333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70825243">
    <w:abstractNumId w:val="13"/>
  </w:num>
  <w:num w:numId="29" w16cid:durableId="1088116789">
    <w:abstractNumId w:val="13"/>
    <w:lvlOverride w:ilvl="0">
      <w:startOverride w:val="1"/>
    </w:lvlOverride>
  </w:num>
  <w:num w:numId="30" w16cid:durableId="452599267">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16385"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863"/>
    <w:rsid w:val="00004548"/>
    <w:rsid w:val="00004ABB"/>
    <w:rsid w:val="000055CB"/>
    <w:rsid w:val="0000604B"/>
    <w:rsid w:val="00006D61"/>
    <w:rsid w:val="00010BEA"/>
    <w:rsid w:val="00011A4A"/>
    <w:rsid w:val="00015024"/>
    <w:rsid w:val="00021D76"/>
    <w:rsid w:val="000244DC"/>
    <w:rsid w:val="0003028C"/>
    <w:rsid w:val="000307C7"/>
    <w:rsid w:val="000313F9"/>
    <w:rsid w:val="00034294"/>
    <w:rsid w:val="000345A1"/>
    <w:rsid w:val="00035445"/>
    <w:rsid w:val="0003557D"/>
    <w:rsid w:val="000432D3"/>
    <w:rsid w:val="00043684"/>
    <w:rsid w:val="000447D1"/>
    <w:rsid w:val="00045482"/>
    <w:rsid w:val="00046D7E"/>
    <w:rsid w:val="00047930"/>
    <w:rsid w:val="00052034"/>
    <w:rsid w:val="00054910"/>
    <w:rsid w:val="00057F70"/>
    <w:rsid w:val="00061275"/>
    <w:rsid w:val="00061B87"/>
    <w:rsid w:val="00062190"/>
    <w:rsid w:val="00065AC2"/>
    <w:rsid w:val="0006648E"/>
    <w:rsid w:val="00066603"/>
    <w:rsid w:val="0008220A"/>
    <w:rsid w:val="00085EF0"/>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50CD"/>
    <w:rsid w:val="000F784C"/>
    <w:rsid w:val="001042E5"/>
    <w:rsid w:val="001063E0"/>
    <w:rsid w:val="0011397E"/>
    <w:rsid w:val="001142A3"/>
    <w:rsid w:val="00117566"/>
    <w:rsid w:val="001211DF"/>
    <w:rsid w:val="0012472D"/>
    <w:rsid w:val="00124ABF"/>
    <w:rsid w:val="00124F0D"/>
    <w:rsid w:val="001259FD"/>
    <w:rsid w:val="00132CA1"/>
    <w:rsid w:val="00134898"/>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27FA"/>
    <w:rsid w:val="001C333B"/>
    <w:rsid w:val="001C64EB"/>
    <w:rsid w:val="001C78CA"/>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7D4A"/>
    <w:rsid w:val="00243817"/>
    <w:rsid w:val="002443B2"/>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580"/>
    <w:rsid w:val="002859E3"/>
    <w:rsid w:val="00285CC0"/>
    <w:rsid w:val="00291A04"/>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ACC"/>
    <w:rsid w:val="00303B04"/>
    <w:rsid w:val="00311AB8"/>
    <w:rsid w:val="00312331"/>
    <w:rsid w:val="0031631B"/>
    <w:rsid w:val="00324284"/>
    <w:rsid w:val="00327D9F"/>
    <w:rsid w:val="0033389E"/>
    <w:rsid w:val="003346A0"/>
    <w:rsid w:val="00334CC0"/>
    <w:rsid w:val="0034112C"/>
    <w:rsid w:val="0034270A"/>
    <w:rsid w:val="0034539C"/>
    <w:rsid w:val="0034598A"/>
    <w:rsid w:val="003465C1"/>
    <w:rsid w:val="0035101F"/>
    <w:rsid w:val="00351359"/>
    <w:rsid w:val="003527AB"/>
    <w:rsid w:val="00356C98"/>
    <w:rsid w:val="00361988"/>
    <w:rsid w:val="0036353C"/>
    <w:rsid w:val="0036366F"/>
    <w:rsid w:val="00364C1E"/>
    <w:rsid w:val="0036653F"/>
    <w:rsid w:val="00366661"/>
    <w:rsid w:val="00371178"/>
    <w:rsid w:val="00371272"/>
    <w:rsid w:val="003733E6"/>
    <w:rsid w:val="00375CE7"/>
    <w:rsid w:val="003822F0"/>
    <w:rsid w:val="00384DB7"/>
    <w:rsid w:val="00385980"/>
    <w:rsid w:val="00385B8F"/>
    <w:rsid w:val="00390366"/>
    <w:rsid w:val="003A0135"/>
    <w:rsid w:val="003A3100"/>
    <w:rsid w:val="003A46E2"/>
    <w:rsid w:val="003B16F3"/>
    <w:rsid w:val="003B2C3F"/>
    <w:rsid w:val="003B5891"/>
    <w:rsid w:val="003B7B4D"/>
    <w:rsid w:val="003C1E33"/>
    <w:rsid w:val="003C225C"/>
    <w:rsid w:val="003C2412"/>
    <w:rsid w:val="003C4674"/>
    <w:rsid w:val="003C474F"/>
    <w:rsid w:val="003C6EA5"/>
    <w:rsid w:val="003D2245"/>
    <w:rsid w:val="003D26E2"/>
    <w:rsid w:val="003D2A1F"/>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10B19"/>
    <w:rsid w:val="004112EC"/>
    <w:rsid w:val="00412655"/>
    <w:rsid w:val="00412E34"/>
    <w:rsid w:val="004141EA"/>
    <w:rsid w:val="004169BB"/>
    <w:rsid w:val="004179BA"/>
    <w:rsid w:val="00420678"/>
    <w:rsid w:val="00420FC6"/>
    <w:rsid w:val="00421B6D"/>
    <w:rsid w:val="004239F5"/>
    <w:rsid w:val="00423B24"/>
    <w:rsid w:val="0042684A"/>
    <w:rsid w:val="00426C1D"/>
    <w:rsid w:val="004276AD"/>
    <w:rsid w:val="00433301"/>
    <w:rsid w:val="00433828"/>
    <w:rsid w:val="004357F5"/>
    <w:rsid w:val="0044155E"/>
    <w:rsid w:val="00443DF9"/>
    <w:rsid w:val="0044446B"/>
    <w:rsid w:val="00445174"/>
    <w:rsid w:val="00445E76"/>
    <w:rsid w:val="00445E9B"/>
    <w:rsid w:val="0045190F"/>
    <w:rsid w:val="0045386D"/>
    <w:rsid w:val="00456B51"/>
    <w:rsid w:val="00460A1E"/>
    <w:rsid w:val="00461061"/>
    <w:rsid w:val="00464995"/>
    <w:rsid w:val="00467008"/>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4C21"/>
    <w:rsid w:val="004E5479"/>
    <w:rsid w:val="004E5A21"/>
    <w:rsid w:val="004F18E5"/>
    <w:rsid w:val="004F30CC"/>
    <w:rsid w:val="004F5F0C"/>
    <w:rsid w:val="004F727F"/>
    <w:rsid w:val="005001B0"/>
    <w:rsid w:val="00500C6B"/>
    <w:rsid w:val="00503815"/>
    <w:rsid w:val="005120E9"/>
    <w:rsid w:val="00514B18"/>
    <w:rsid w:val="00521BC7"/>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84385"/>
    <w:rsid w:val="0058573F"/>
    <w:rsid w:val="00585D07"/>
    <w:rsid w:val="0058763F"/>
    <w:rsid w:val="005904E9"/>
    <w:rsid w:val="00592107"/>
    <w:rsid w:val="0059327E"/>
    <w:rsid w:val="00595179"/>
    <w:rsid w:val="005A2991"/>
    <w:rsid w:val="005A3490"/>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94F"/>
    <w:rsid w:val="006124E2"/>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410BC"/>
    <w:rsid w:val="00644D00"/>
    <w:rsid w:val="00645AC1"/>
    <w:rsid w:val="006525E2"/>
    <w:rsid w:val="00652B2D"/>
    <w:rsid w:val="0065448D"/>
    <w:rsid w:val="006632B8"/>
    <w:rsid w:val="0067097D"/>
    <w:rsid w:val="00674A53"/>
    <w:rsid w:val="006764E5"/>
    <w:rsid w:val="006767B4"/>
    <w:rsid w:val="00676E79"/>
    <w:rsid w:val="00681EF7"/>
    <w:rsid w:val="006827E9"/>
    <w:rsid w:val="00684B5C"/>
    <w:rsid w:val="0068542B"/>
    <w:rsid w:val="0068575A"/>
    <w:rsid w:val="00696706"/>
    <w:rsid w:val="0069709B"/>
    <w:rsid w:val="006A06BB"/>
    <w:rsid w:val="006A2C2C"/>
    <w:rsid w:val="006A2EE6"/>
    <w:rsid w:val="006A3552"/>
    <w:rsid w:val="006A497F"/>
    <w:rsid w:val="006A6D39"/>
    <w:rsid w:val="006A6F1D"/>
    <w:rsid w:val="006A7594"/>
    <w:rsid w:val="006B519C"/>
    <w:rsid w:val="006B61A6"/>
    <w:rsid w:val="006B635F"/>
    <w:rsid w:val="006B68E8"/>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3C31"/>
    <w:rsid w:val="00707C56"/>
    <w:rsid w:val="00710B1A"/>
    <w:rsid w:val="007119DA"/>
    <w:rsid w:val="00712CD1"/>
    <w:rsid w:val="00714CEE"/>
    <w:rsid w:val="00723FB3"/>
    <w:rsid w:val="007245BF"/>
    <w:rsid w:val="00727299"/>
    <w:rsid w:val="00727449"/>
    <w:rsid w:val="00727944"/>
    <w:rsid w:val="00732EF9"/>
    <w:rsid w:val="00734DBF"/>
    <w:rsid w:val="0073582A"/>
    <w:rsid w:val="00735AD1"/>
    <w:rsid w:val="00737862"/>
    <w:rsid w:val="00746E69"/>
    <w:rsid w:val="007503B2"/>
    <w:rsid w:val="007509EF"/>
    <w:rsid w:val="00753991"/>
    <w:rsid w:val="0075484B"/>
    <w:rsid w:val="00756788"/>
    <w:rsid w:val="00756A24"/>
    <w:rsid w:val="0076067C"/>
    <w:rsid w:val="00760A2E"/>
    <w:rsid w:val="0077146C"/>
    <w:rsid w:val="00775D9C"/>
    <w:rsid w:val="00776B60"/>
    <w:rsid w:val="00777CBB"/>
    <w:rsid w:val="0078089D"/>
    <w:rsid w:val="007813A9"/>
    <w:rsid w:val="00782330"/>
    <w:rsid w:val="00784608"/>
    <w:rsid w:val="0079165A"/>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1E89"/>
    <w:rsid w:val="007C24A7"/>
    <w:rsid w:val="007C3DA2"/>
    <w:rsid w:val="007C49EC"/>
    <w:rsid w:val="007C6052"/>
    <w:rsid w:val="007C69BE"/>
    <w:rsid w:val="007C7F4E"/>
    <w:rsid w:val="007D0C38"/>
    <w:rsid w:val="007D17C8"/>
    <w:rsid w:val="007D7542"/>
    <w:rsid w:val="007E17CF"/>
    <w:rsid w:val="007F006D"/>
    <w:rsid w:val="007F0FAC"/>
    <w:rsid w:val="007F47FE"/>
    <w:rsid w:val="007F5503"/>
    <w:rsid w:val="007F7234"/>
    <w:rsid w:val="00801D86"/>
    <w:rsid w:val="00802ABE"/>
    <w:rsid w:val="008036F2"/>
    <w:rsid w:val="008041F7"/>
    <w:rsid w:val="0080542B"/>
    <w:rsid w:val="00805701"/>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460A"/>
    <w:rsid w:val="008564F0"/>
    <w:rsid w:val="0086201E"/>
    <w:rsid w:val="008626FD"/>
    <w:rsid w:val="00862FC6"/>
    <w:rsid w:val="00863080"/>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90380F"/>
    <w:rsid w:val="00910FAB"/>
    <w:rsid w:val="009113D0"/>
    <w:rsid w:val="009140B2"/>
    <w:rsid w:val="00917AA4"/>
    <w:rsid w:val="00920C1C"/>
    <w:rsid w:val="009263DF"/>
    <w:rsid w:val="0092682C"/>
    <w:rsid w:val="00934215"/>
    <w:rsid w:val="009370AB"/>
    <w:rsid w:val="00940F5E"/>
    <w:rsid w:val="009429C3"/>
    <w:rsid w:val="00944F6D"/>
    <w:rsid w:val="009455D9"/>
    <w:rsid w:val="00950AE0"/>
    <w:rsid w:val="0095259E"/>
    <w:rsid w:val="0095357C"/>
    <w:rsid w:val="009550E2"/>
    <w:rsid w:val="00955C05"/>
    <w:rsid w:val="00957E6A"/>
    <w:rsid w:val="0096012F"/>
    <w:rsid w:val="00962359"/>
    <w:rsid w:val="00963253"/>
    <w:rsid w:val="009647A4"/>
    <w:rsid w:val="00964897"/>
    <w:rsid w:val="00971E34"/>
    <w:rsid w:val="0097232D"/>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B0B"/>
    <w:rsid w:val="009E2548"/>
    <w:rsid w:val="009E657B"/>
    <w:rsid w:val="009E6668"/>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2A42"/>
    <w:rsid w:val="00A53DD6"/>
    <w:rsid w:val="00A548A2"/>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B004C"/>
    <w:rsid w:val="00AB24FA"/>
    <w:rsid w:val="00AB2D94"/>
    <w:rsid w:val="00AB5D90"/>
    <w:rsid w:val="00AC20B1"/>
    <w:rsid w:val="00AD33B9"/>
    <w:rsid w:val="00AD4D46"/>
    <w:rsid w:val="00AD4EEC"/>
    <w:rsid w:val="00AE2655"/>
    <w:rsid w:val="00AE7D14"/>
    <w:rsid w:val="00AF1D7A"/>
    <w:rsid w:val="00B030A0"/>
    <w:rsid w:val="00B04E6D"/>
    <w:rsid w:val="00B07BCE"/>
    <w:rsid w:val="00B10E8F"/>
    <w:rsid w:val="00B1135F"/>
    <w:rsid w:val="00B118A6"/>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505E7"/>
    <w:rsid w:val="00B52FF5"/>
    <w:rsid w:val="00B533FA"/>
    <w:rsid w:val="00B534EF"/>
    <w:rsid w:val="00B541A1"/>
    <w:rsid w:val="00B5675B"/>
    <w:rsid w:val="00B56B24"/>
    <w:rsid w:val="00B57221"/>
    <w:rsid w:val="00B57D4F"/>
    <w:rsid w:val="00B6047C"/>
    <w:rsid w:val="00B63E7C"/>
    <w:rsid w:val="00B66FF2"/>
    <w:rsid w:val="00B7034A"/>
    <w:rsid w:val="00B706ED"/>
    <w:rsid w:val="00B71534"/>
    <w:rsid w:val="00B71BD3"/>
    <w:rsid w:val="00B72F98"/>
    <w:rsid w:val="00B75F57"/>
    <w:rsid w:val="00B76A40"/>
    <w:rsid w:val="00B800DC"/>
    <w:rsid w:val="00B8049E"/>
    <w:rsid w:val="00B82FBF"/>
    <w:rsid w:val="00B839E7"/>
    <w:rsid w:val="00B84555"/>
    <w:rsid w:val="00B86CE9"/>
    <w:rsid w:val="00B97F2A"/>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2CC"/>
    <w:rsid w:val="00C066C6"/>
    <w:rsid w:val="00C11173"/>
    <w:rsid w:val="00C129EB"/>
    <w:rsid w:val="00C161B9"/>
    <w:rsid w:val="00C16254"/>
    <w:rsid w:val="00C16905"/>
    <w:rsid w:val="00C16D31"/>
    <w:rsid w:val="00C217E4"/>
    <w:rsid w:val="00C24DA7"/>
    <w:rsid w:val="00C2563D"/>
    <w:rsid w:val="00C340BA"/>
    <w:rsid w:val="00C34232"/>
    <w:rsid w:val="00C34A31"/>
    <w:rsid w:val="00C404DE"/>
    <w:rsid w:val="00C4311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304D"/>
    <w:rsid w:val="00C83461"/>
    <w:rsid w:val="00C83BA2"/>
    <w:rsid w:val="00C84871"/>
    <w:rsid w:val="00C87F0D"/>
    <w:rsid w:val="00C90140"/>
    <w:rsid w:val="00C902A7"/>
    <w:rsid w:val="00C9220C"/>
    <w:rsid w:val="00C965BC"/>
    <w:rsid w:val="00C97487"/>
    <w:rsid w:val="00CA0BB4"/>
    <w:rsid w:val="00CA1361"/>
    <w:rsid w:val="00CA300F"/>
    <w:rsid w:val="00CA588E"/>
    <w:rsid w:val="00CB01A8"/>
    <w:rsid w:val="00CB1F8E"/>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7987"/>
    <w:rsid w:val="00D10194"/>
    <w:rsid w:val="00D12469"/>
    <w:rsid w:val="00D13D4D"/>
    <w:rsid w:val="00D14DF8"/>
    <w:rsid w:val="00D152C5"/>
    <w:rsid w:val="00D154FA"/>
    <w:rsid w:val="00D16842"/>
    <w:rsid w:val="00D17298"/>
    <w:rsid w:val="00D17B49"/>
    <w:rsid w:val="00D17E80"/>
    <w:rsid w:val="00D210E8"/>
    <w:rsid w:val="00D22CA0"/>
    <w:rsid w:val="00D25B92"/>
    <w:rsid w:val="00D32344"/>
    <w:rsid w:val="00D347D1"/>
    <w:rsid w:val="00D36EC9"/>
    <w:rsid w:val="00D37571"/>
    <w:rsid w:val="00D407BA"/>
    <w:rsid w:val="00D44B02"/>
    <w:rsid w:val="00D52F2C"/>
    <w:rsid w:val="00D5342D"/>
    <w:rsid w:val="00D538D9"/>
    <w:rsid w:val="00D567D6"/>
    <w:rsid w:val="00D6025F"/>
    <w:rsid w:val="00D611DA"/>
    <w:rsid w:val="00D61D1B"/>
    <w:rsid w:val="00D61D85"/>
    <w:rsid w:val="00D625F1"/>
    <w:rsid w:val="00D629B6"/>
    <w:rsid w:val="00D66015"/>
    <w:rsid w:val="00D67F7C"/>
    <w:rsid w:val="00D738FD"/>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89E"/>
    <w:rsid w:val="00DF2DB3"/>
    <w:rsid w:val="00DF3A45"/>
    <w:rsid w:val="00DF3D63"/>
    <w:rsid w:val="00DF58FF"/>
    <w:rsid w:val="00DF6DE3"/>
    <w:rsid w:val="00DF6F84"/>
    <w:rsid w:val="00DF7EBA"/>
    <w:rsid w:val="00E04C32"/>
    <w:rsid w:val="00E11938"/>
    <w:rsid w:val="00E123E5"/>
    <w:rsid w:val="00E20F8E"/>
    <w:rsid w:val="00E21586"/>
    <w:rsid w:val="00E27DA9"/>
    <w:rsid w:val="00E303B7"/>
    <w:rsid w:val="00E3093C"/>
    <w:rsid w:val="00E310C5"/>
    <w:rsid w:val="00E318C1"/>
    <w:rsid w:val="00E32ABD"/>
    <w:rsid w:val="00E338A3"/>
    <w:rsid w:val="00E33E72"/>
    <w:rsid w:val="00E36917"/>
    <w:rsid w:val="00E414B3"/>
    <w:rsid w:val="00E43F36"/>
    <w:rsid w:val="00E46421"/>
    <w:rsid w:val="00E47303"/>
    <w:rsid w:val="00E4786D"/>
    <w:rsid w:val="00E52603"/>
    <w:rsid w:val="00E52CD5"/>
    <w:rsid w:val="00E55243"/>
    <w:rsid w:val="00E565AC"/>
    <w:rsid w:val="00E56A85"/>
    <w:rsid w:val="00E56C04"/>
    <w:rsid w:val="00E57407"/>
    <w:rsid w:val="00E7088D"/>
    <w:rsid w:val="00E763B4"/>
    <w:rsid w:val="00E80349"/>
    <w:rsid w:val="00E80DA0"/>
    <w:rsid w:val="00E815AD"/>
    <w:rsid w:val="00E831CE"/>
    <w:rsid w:val="00E846C2"/>
    <w:rsid w:val="00E85BA4"/>
    <w:rsid w:val="00E86AFC"/>
    <w:rsid w:val="00E879DD"/>
    <w:rsid w:val="00E91B8D"/>
    <w:rsid w:val="00E92F62"/>
    <w:rsid w:val="00E9494F"/>
    <w:rsid w:val="00E95577"/>
    <w:rsid w:val="00E97B11"/>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4702"/>
    <w:rsid w:val="00ED4A3E"/>
    <w:rsid w:val="00ED6DE1"/>
    <w:rsid w:val="00EE590A"/>
    <w:rsid w:val="00EE65FC"/>
    <w:rsid w:val="00EE7DFC"/>
    <w:rsid w:val="00EF1CB7"/>
    <w:rsid w:val="00EF268B"/>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6863"/>
    <w:rsid w:val="00F16A5A"/>
    <w:rsid w:val="00F23F2F"/>
    <w:rsid w:val="00F30519"/>
    <w:rsid w:val="00F30745"/>
    <w:rsid w:val="00F3355E"/>
    <w:rsid w:val="00F36873"/>
    <w:rsid w:val="00F3729D"/>
    <w:rsid w:val="00F448D5"/>
    <w:rsid w:val="00F44B06"/>
    <w:rsid w:val="00F506EC"/>
    <w:rsid w:val="00F5175B"/>
    <w:rsid w:val="00F57854"/>
    <w:rsid w:val="00F62202"/>
    <w:rsid w:val="00F62D76"/>
    <w:rsid w:val="00F634DE"/>
    <w:rsid w:val="00F6436B"/>
    <w:rsid w:val="00F653D5"/>
    <w:rsid w:val="00F657C8"/>
    <w:rsid w:val="00F70C6A"/>
    <w:rsid w:val="00F72F27"/>
    <w:rsid w:val="00F73215"/>
    <w:rsid w:val="00F7332D"/>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766A"/>
    <w:rsid w:val="00FE62D1"/>
    <w:rsid w:val="00FF02CA"/>
    <w:rsid w:val="00FF143F"/>
    <w:rsid w:val="00FF264A"/>
    <w:rsid w:val="00FF348F"/>
    <w:rsid w:val="00FF4056"/>
    <w:rsid w:val="00FF5411"/>
    <w:rsid w:val="00FF6793"/>
    <w:rsid w:val="1CA0E5F5"/>
    <w:rsid w:val="2FE58F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fillcolor="white">
      <v:fill color="white"/>
    </o:shapedefaults>
    <o:shapelayout v:ext="edit">
      <o:idmap v:ext="edit" data="1"/>
    </o:shapelayout>
  </w:shapeDefaults>
  <w:decimalSymbol w:val="."/>
  <w:listSeparator w:val=","/>
  <w14:docId w14:val="1FB83813"/>
  <w15:docId w15:val="{938C5148-E3C3-47B8-9DCA-3508085BA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ar-EG" w:bidi="ar-EG"/>
      </w:rPr>
    </w:rPrDefault>
    <w:pPrDefault/>
  </w:docDefaults>
  <w:latentStyles w:defLockedState="0" w:defUIPriority="99" w:defSemiHidden="0" w:defUnhideWhenUsed="0" w:defQFormat="0" w:count="376">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34"/>
    <w:lsdException w:name="No Spacing" w:locked="1" w:semiHidden="1"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0"/>
    <w:lsdException w:name="Quote" w:locked="1" w:uiPriority="29"/>
    <w:lsdException w:name="Intense Quote" w:locked="1"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585D07"/>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customStyle="1" w:styleId="ATABodyBulletLevel02">
    <w:name w:val="ATA Body Bullet Level 02"/>
    <w:basedOn w:val="Normal"/>
    <w:link w:val="ATABodyBulletLevel02Char"/>
    <w:qFormat/>
    <w:rsid w:val="00264A72"/>
    <w:pPr>
      <w:numPr>
        <w:numId w:val="2"/>
      </w:numPr>
      <w:ind w:left="648" w:hanging="288"/>
    </w:pPr>
    <w:rPr>
      <w:rFonts w:ascii="Cambria" w:eastAsia="MS PGothic" w:hAnsi="Cambria"/>
      <w:bCs/>
      <w:color w:val="000000"/>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BodyBulletLevel02Char">
    <w:name w:val="ATA Body Bullet Level 02 Char"/>
    <w:link w:val="ATABodyBulletLevel02"/>
    <w:rsid w:val="00264A72"/>
    <w:rPr>
      <w:rFonts w:ascii="Cambria" w:eastAsia="MS PGothic" w:hAnsi="Cambria"/>
      <w:bCs/>
      <w:color w:val="000000"/>
      <w:sz w:val="24"/>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paragraph" w:customStyle="1" w:styleId="ATABodyBulletLevel01">
    <w:name w:val="ATA Body Bullet Level 01"/>
    <w:basedOn w:val="Normal"/>
    <w:next w:val="ATABody"/>
    <w:link w:val="ATABodyBulletLevel01Char"/>
    <w:rsid w:val="00264A72"/>
    <w:pPr>
      <w:numPr>
        <w:numId w:val="23"/>
      </w:numPr>
      <w:ind w:left="360" w:right="72" w:hanging="288"/>
    </w:pPr>
    <w:rPr>
      <w:rFonts w:ascii="Cambria" w:eastAsia="MS PGothic" w:hAnsi="Cambria"/>
      <w:bCs/>
      <w:color w:val="000000"/>
    </w:rPr>
  </w:style>
  <w:style w:type="character" w:customStyle="1" w:styleId="ATABodyBulletLevel01Char">
    <w:name w:val="ATA Body Bullet Level 01 Char"/>
    <w:basedOn w:val="ATABodyChar"/>
    <w:link w:val="ATABodyBulletLevel01"/>
    <w:rsid w:val="00264A72"/>
    <w:rPr>
      <w:rFonts w:ascii="Cambria" w:eastAsia="MS PGothic" w:hAnsi="Cambria"/>
      <w:bCs/>
      <w:color w:val="000000"/>
      <w:sz w:val="24"/>
      <w:szCs w:val="24"/>
    </w:rPr>
  </w:style>
  <w:style w:type="table" w:styleId="TableGrid">
    <w:name w:val="Table Grid"/>
    <w:basedOn w:val="TableNormal"/>
    <w:uiPriority w:val="59"/>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odyBulletLevel03">
    <w:name w:val="ATA Body Bullet Level 03"/>
    <w:basedOn w:val="ATABodyBulletLevel02"/>
    <w:rsid w:val="00626BA9"/>
    <w:pPr>
      <w:ind w:left="936"/>
    </w:pPr>
  </w:style>
  <w:style w:type="paragraph" w:styleId="BodyText">
    <w:name w:val="Body Text"/>
    <w:basedOn w:val="Normal"/>
    <w:link w:val="BodyTextChar"/>
    <w:uiPriority w:val="99"/>
    <w:unhideWhenUsed/>
    <w:rsid w:val="00E565AC"/>
    <w:pPr>
      <w:spacing w:before="120" w:after="120"/>
    </w:pPr>
  </w:style>
  <w:style w:type="character" w:customStyle="1" w:styleId="BodyTextChar">
    <w:name w:val="Body Text Char"/>
    <w:basedOn w:val="DefaultParagraphFont"/>
    <w:link w:val="BodyText"/>
    <w:uiPriority w:val="99"/>
    <w:rsid w:val="00E565AC"/>
    <w:rPr>
      <w:sz w:val="24"/>
      <w:szCs w:val="24"/>
    </w:rPr>
  </w:style>
  <w:style w:type="character" w:customStyle="1" w:styleId="ATANumLevel01BodySlideChar">
    <w:name w:val="ATA Num Level 01 Body/Slide Char"/>
    <w:basedOn w:val="DefaultParagraphFont"/>
    <w:link w:val="ATANumLevel01BodySlide"/>
    <w:uiPriority w:val="8"/>
    <w:locked/>
    <w:rsid w:val="0079165A"/>
    <w:rPr>
      <w:rFonts w:ascii="Cambria" w:hAnsi="Cambria"/>
      <w:color w:val="262626" w:themeColor="text1" w:themeTint="D9"/>
      <w:sz w:val="24"/>
    </w:rPr>
  </w:style>
  <w:style w:type="paragraph" w:customStyle="1" w:styleId="ATANumLevel01BodySlide">
    <w:name w:val="ATA Num Level 01 Body/Slide"/>
    <w:basedOn w:val="Normal"/>
    <w:link w:val="ATANumLevel01BodySlideChar"/>
    <w:uiPriority w:val="8"/>
    <w:rsid w:val="0079165A"/>
    <w:pPr>
      <w:numPr>
        <w:numId w:val="27"/>
      </w:numPr>
      <w:ind w:left="317" w:hanging="288"/>
      <w:contextualSpacing/>
    </w:pPr>
    <w:rPr>
      <w:rFonts w:ascii="Cambria" w:hAnsi="Cambria"/>
      <w:color w:val="262626" w:themeColor="text1" w:themeTint="D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098838">
      <w:bodyDiv w:val="1"/>
      <w:marLeft w:val="0"/>
      <w:marRight w:val="0"/>
      <w:marTop w:val="0"/>
      <w:marBottom w:val="0"/>
      <w:divBdr>
        <w:top w:val="none" w:sz="0" w:space="0" w:color="auto"/>
        <w:left w:val="none" w:sz="0" w:space="0" w:color="auto"/>
        <w:bottom w:val="none" w:sz="0" w:space="0" w:color="auto"/>
        <w:right w:val="none" w:sz="0" w:space="0" w:color="auto"/>
      </w:divBdr>
    </w:div>
    <w:div w:id="1027754205">
      <w:bodyDiv w:val="1"/>
      <w:marLeft w:val="0"/>
      <w:marRight w:val="0"/>
      <w:marTop w:val="0"/>
      <w:marBottom w:val="0"/>
      <w:divBdr>
        <w:top w:val="none" w:sz="0" w:space="0" w:color="auto"/>
        <w:left w:val="none" w:sz="0" w:space="0" w:color="auto"/>
        <w:bottom w:val="none" w:sz="0" w:space="0" w:color="auto"/>
        <w:right w:val="none" w:sz="0" w:space="0" w:color="auto"/>
      </w:divBdr>
    </w:div>
    <w:div w:id="1266888970">
      <w:bodyDiv w:val="1"/>
      <w:marLeft w:val="0"/>
      <w:marRight w:val="0"/>
      <w:marTop w:val="0"/>
      <w:marBottom w:val="0"/>
      <w:divBdr>
        <w:top w:val="none" w:sz="0" w:space="0" w:color="auto"/>
        <w:left w:val="none" w:sz="0" w:space="0" w:color="auto"/>
        <w:bottom w:val="none" w:sz="0" w:space="0" w:color="auto"/>
        <w:right w:val="none" w:sz="0" w:space="0" w:color="auto"/>
      </w:divBdr>
    </w:div>
    <w:div w:id="1362170066">
      <w:bodyDiv w:val="1"/>
      <w:marLeft w:val="0"/>
      <w:marRight w:val="0"/>
      <w:marTop w:val="0"/>
      <w:marBottom w:val="0"/>
      <w:divBdr>
        <w:top w:val="none" w:sz="0" w:space="0" w:color="auto"/>
        <w:left w:val="none" w:sz="0" w:space="0" w:color="auto"/>
        <w:bottom w:val="none" w:sz="0" w:space="0" w:color="auto"/>
        <w:right w:val="none" w:sz="0" w:space="0" w:color="auto"/>
      </w:divBdr>
    </w:div>
    <w:div w:id="1394697278">
      <w:bodyDiv w:val="1"/>
      <w:marLeft w:val="0"/>
      <w:marRight w:val="0"/>
      <w:marTop w:val="0"/>
      <w:marBottom w:val="0"/>
      <w:divBdr>
        <w:top w:val="none" w:sz="0" w:space="0" w:color="auto"/>
        <w:left w:val="none" w:sz="0" w:space="0" w:color="auto"/>
        <w:bottom w:val="none" w:sz="0" w:space="0" w:color="auto"/>
        <w:right w:val="none" w:sz="0" w:space="0" w:color="auto"/>
      </w:divBdr>
    </w:div>
    <w:div w:id="1728650507">
      <w:bodyDiv w:val="1"/>
      <w:marLeft w:val="0"/>
      <w:marRight w:val="0"/>
      <w:marTop w:val="0"/>
      <w:marBottom w:val="0"/>
      <w:divBdr>
        <w:top w:val="none" w:sz="0" w:space="0" w:color="auto"/>
        <w:left w:val="none" w:sz="0" w:space="0" w:color="auto"/>
        <w:bottom w:val="none" w:sz="0" w:space="0" w:color="auto"/>
        <w:right w:val="none" w:sz="0" w:space="0" w:color="auto"/>
      </w:divBdr>
    </w:div>
    <w:div w:id="1732314412">
      <w:bodyDiv w:val="1"/>
      <w:marLeft w:val="0"/>
      <w:marRight w:val="0"/>
      <w:marTop w:val="0"/>
      <w:marBottom w:val="0"/>
      <w:divBdr>
        <w:top w:val="none" w:sz="0" w:space="0" w:color="auto"/>
        <w:left w:val="none" w:sz="0" w:space="0" w:color="auto"/>
        <w:bottom w:val="none" w:sz="0" w:space="0" w:color="auto"/>
        <w:right w:val="none" w:sz="0" w:space="0" w:color="auto"/>
      </w:divBdr>
    </w:div>
    <w:div w:id="1789009296">
      <w:bodyDiv w:val="1"/>
      <w:marLeft w:val="0"/>
      <w:marRight w:val="0"/>
      <w:marTop w:val="0"/>
      <w:marBottom w:val="0"/>
      <w:divBdr>
        <w:top w:val="none" w:sz="0" w:space="0" w:color="auto"/>
        <w:left w:val="none" w:sz="0" w:space="0" w:color="auto"/>
        <w:bottom w:val="none" w:sz="0" w:space="0" w:color="auto"/>
        <w:right w:val="none" w:sz="0" w:space="0" w:color="auto"/>
      </w:divBdr>
    </w:div>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 w:id="2072844502">
      <w:bodyDiv w:val="1"/>
      <w:marLeft w:val="0"/>
      <w:marRight w:val="0"/>
      <w:marTop w:val="0"/>
      <w:marBottom w:val="0"/>
      <w:divBdr>
        <w:top w:val="none" w:sz="0" w:space="0" w:color="auto"/>
        <w:left w:val="none" w:sz="0" w:space="0" w:color="auto"/>
        <w:bottom w:val="none" w:sz="0" w:space="0" w:color="auto"/>
        <w:right w:val="none" w:sz="0" w:space="0" w:color="auto"/>
      </w:divBdr>
    </w:div>
    <w:div w:id="209728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Folders xmlns="0b39b100-34c8-42a1-9ad6-b6ff7a1420fd">Participant Workbook</Folders>
    <LS_x0020_Folder xmlns="0b39b100-34c8-42a1-9ad6-b6ff7a1420fd">GPS</LS_x0020_Folder>
    <Languages xmlns="0b39b100-34c8-42a1-9ad6-b6ff7a1420fd">Arabic</Languages>
    <Print xmlns="0b39b100-34c8-42a1-9ad6-b6ff7a1420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551F65A596BA41B3A43279701C5FCA" ma:contentTypeVersion="16" ma:contentTypeDescription="Create a new document." ma:contentTypeScope="" ma:versionID="9832a883e2b2eb0d0f461127ed965eea">
  <xsd:schema xmlns:xsd="http://www.w3.org/2001/XMLSchema" xmlns:xs="http://www.w3.org/2001/XMLSchema" xmlns:p="http://schemas.microsoft.com/office/2006/metadata/properties" xmlns:ns2="0b39b100-34c8-42a1-9ad6-b6ff7a1420fd" xmlns:ns3="8e5adf1f-43c2-470f-935e-dff54b24dae6" targetNamespace="http://schemas.microsoft.com/office/2006/metadata/properties" ma:root="true" ma:fieldsID="6225919b6d0ce05f34db2a65d2e4e9d3" ns2:_="" ns3:_="">
    <xsd:import namespace="0b39b100-34c8-42a1-9ad6-b6ff7a1420fd"/>
    <xsd:import namespace="8e5adf1f-43c2-470f-935e-dff54b24dae6"/>
    <xsd:element name="properties">
      <xsd:complexType>
        <xsd:sequence>
          <xsd:element name="documentManagement">
            <xsd:complexType>
              <xsd:all>
                <xsd:element ref="ns2:Folders" minOccurs="0"/>
                <xsd:element ref="ns2:Languages" minOccurs="0"/>
                <xsd:element ref="ns3:MediaServiceMetadata" minOccurs="0"/>
                <xsd:element ref="ns3:MediaServiceFastMetadata" minOccurs="0"/>
                <xsd:element ref="ns3:MediaServiceDateTaken" minOccurs="0"/>
                <xsd:element ref="ns2:LS_x0020_Folder" minOccurs="0"/>
                <xsd:element ref="ns2:SharedWithUsers" minOccurs="0"/>
                <xsd:element ref="ns2:SharedWithDetails" minOccurs="0"/>
                <xsd:element ref="ns3:MediaLengthInSeconds" minOccurs="0"/>
                <xsd:element ref="ns3:MediaServiceAutoTags" minOccurs="0"/>
                <xsd:element ref="ns3:MediaServiceObjectDetectorVersions" minOccurs="0"/>
                <xsd:element ref="ns3:MediaServiceGenerationTime" minOccurs="0"/>
                <xsd:element ref="ns3:MediaServiceEventHashCode" minOccurs="0"/>
                <xsd:element ref="ns3:MediaServiceSearchProperties" minOccurs="0"/>
                <xsd:element ref="ns2: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9b100-34c8-42a1-9ad6-b6ff7a1420fd" elementFormDefault="qualified">
    <xsd:import namespace="http://schemas.microsoft.com/office/2006/documentManagement/types"/>
    <xsd:import namespace="http://schemas.microsoft.com/office/infopath/2007/PartnerControls"/>
    <xsd:element name="Folders" ma:index="8" nillable="true" ma:displayName="Folders" ma:format="Dropdown" ma:internalName="Folders">
      <xsd:simpleType>
        <xsd:restriction base="dms:Choice">
          <xsd:enumeration value="Facilitator Guide"/>
          <xsd:enumeration value="PowerPoints"/>
          <xsd:enumeration value="Individual Handouts"/>
          <xsd:enumeration value="Facilitator Handouts"/>
          <xsd:enumeration value="Handouts"/>
          <xsd:enumeration value="Group Handouts"/>
          <xsd:enumeration value="Facilitator Workbook"/>
          <xsd:enumeration value="Participant Workbook"/>
          <xsd:enumeration value="Pre/Post Know. Survey"/>
          <xsd:enumeration value="Pre/Post Know. Survey Answer Key"/>
          <xsd:enumeration value="Reference Materials"/>
          <xsd:enumeration value="Required Reports"/>
          <xsd:enumeration value="Video Files"/>
          <xsd:enumeration value="EFG"/>
          <xsd:enumeration value="End of Course Critique"/>
          <xsd:enumeration value="GPS"/>
          <xsd:enumeration value="Activity Workbook"/>
          <xsd:enumeration value="Activity Workbook Answer Key"/>
          <xsd:enumeration value="Addendum"/>
          <xsd:enumeration value="Alternative Files"/>
          <xsd:enumeration value="Answer Key"/>
          <xsd:enumeration value="ATA Disclaimer"/>
          <xsd:enumeration value="Bomb Response Checklist"/>
          <xsd:enumeration value="Cable"/>
          <xsd:enumeration value="Case Studies"/>
          <xsd:enumeration value="CDG"/>
          <xsd:enumeration value="CEHR EFG"/>
          <xsd:enumeration value="CEHR Facilitator"/>
          <xsd:enumeration value="CEHR Participant"/>
          <xsd:enumeration value="Checklist"/>
          <xsd:enumeration value="Classroom Workbook"/>
          <xsd:enumeration value="COVID-19"/>
          <xsd:enumeration value="Crime Scene Forms"/>
          <xsd:enumeration value="Data Book"/>
          <xsd:enumeration value="Electronic Templates"/>
          <xsd:enumeration value="Equipment List"/>
          <xsd:enumeration value="Facilitator Admin Prep"/>
          <xsd:enumeration value="Facilitator Answer Key"/>
          <xsd:enumeration value="Facilitator Classroom Workbook"/>
          <xsd:enumeration value="Field Guide"/>
          <xsd:enumeration value="Group Handout PNP"/>
          <xsd:enumeration value="Handbook"/>
          <xsd:enumeration value="LEAD"/>
          <xsd:enumeration value="Media Relations Guidelines Handbook"/>
          <xsd:enumeration value="Participant Exercise Workbook"/>
          <xsd:enumeration value="Participant Handbook"/>
          <xsd:enumeration value="Participant Workbook AK-47"/>
          <xsd:enumeration value="Participant Workbook M4"/>
          <xsd:enumeration value="Plug &amp; Play AK-47"/>
          <xsd:enumeration value="Plug &amp; Play Driving"/>
          <xsd:enumeration value="Plug &amp; Play M4"/>
          <xsd:enumeration value="Plug &amp; Play"/>
          <xsd:enumeration value="Pocket Guide"/>
          <xsd:enumeration value="Poster"/>
          <xsd:enumeration value="PowerPoint PNP"/>
          <xsd:enumeration value="Practical Exercise Handbook"/>
          <xsd:enumeration value="Range Book"/>
          <xsd:enumeration value="Refresher Video"/>
          <xsd:enumeration value="Role Players"/>
          <xsd:enumeration value="Scenarios"/>
          <xsd:enumeration value="Skills Evaluation"/>
          <xsd:enumeration value="Threaded Answer Key"/>
          <xsd:enumeration value="Threaded Case Study"/>
          <xsd:enumeration value="Threaded Exercise"/>
          <xsd:enumeration value="Threaded Exercise Workbook Cover"/>
          <xsd:enumeration value="Training Aids"/>
          <xsd:enumeration value="Facilitator Threaded Exercise"/>
          <xsd:enumeration value="Participant Threaded Exercise"/>
          <xsd:enumeration value="Train-the-Trainer"/>
          <xsd:enumeration value="Trends"/>
          <xsd:enumeration value="Trends EFG"/>
          <xsd:enumeration value="Trends FG"/>
          <xsd:enumeration value="Trends Handbook"/>
          <xsd:enumeration value="Trends PG"/>
          <xsd:enumeration value="USB ONLY"/>
          <xsd:enumeration value="Workbook Answer Key"/>
          <xsd:enumeration value="Workbook Cover"/>
        </xsd:restriction>
      </xsd:simpleType>
    </xsd:element>
    <xsd:element name="Languages" ma:index="9" nillable="true" ma:displayName="Languages" ma:format="Dropdown" ma:internalName="Languages">
      <xsd:simpleType>
        <xsd:restriction base="dms:Choice">
          <xsd:enumeration value="Albanian"/>
          <xsd:enumeration value="Amharic"/>
          <xsd:enumeration value="Arabic"/>
          <xsd:enumeration value="Azeri"/>
          <xsd:enumeration value="Bengali"/>
          <xsd:enumeration value="Bosnian"/>
          <xsd:enumeration value="Bulgarian"/>
          <xsd:enumeration value="Croatian"/>
          <xsd:enumeration value="Dari"/>
          <xsd:enumeration value="English"/>
          <xsd:enumeration value="French"/>
          <xsd:enumeration value="Georgian"/>
          <xsd:enumeration value="Greek"/>
          <xsd:enumeration value="Indonesian"/>
          <xsd:enumeration value="Kurdish"/>
          <xsd:enumeration value="Kyrgyz"/>
          <xsd:enumeration value="Macedonian"/>
          <xsd:enumeration value="Nepal"/>
          <xsd:enumeration value="Portuguese"/>
          <xsd:enumeration value="Russian"/>
          <xsd:enumeration value="Serbian"/>
          <xsd:enumeration value="Singala"/>
          <xsd:enumeration value="Somali"/>
          <xsd:enumeration value="Spanish"/>
          <xsd:enumeration value="Tajik"/>
          <xsd:enumeration value="Thai"/>
          <xsd:enumeration value="Turkish"/>
          <xsd:enumeration value="Turkmen"/>
          <xsd:enumeration value="Urdu"/>
          <xsd:enumeration value="Uzbek"/>
        </xsd:restriction>
      </xsd:simpleType>
    </xsd:element>
    <xsd:element name="LS_x0020_Folder" ma:index="13" nillable="true" ma:displayName="LS Folder" ma:description="Holds files that are facilitator and participant files to be translated by Language Services" ma:format="Dropdown" ma:internalName="LS_x0020_Folder">
      <xsd:simpleType>
        <xsd:restriction base="dms:Choice">
          <xsd:enumeration value="EFG"/>
          <xsd:enumeration value="GPS"/>
          <xsd:enumeration value="DO NOT TRANSLATE"/>
        </xsd:restrictio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Print" ma:index="22" nillable="true" ma:displayName="Print" ma:description="Material to print or not to print" ma:format="Dropdown" ma:internalName="Print">
      <xsd:simpleType>
        <xsd:restriction base="dms:Choice">
          <xsd:enumeration value="Print"/>
          <xsd:enumeration value="DO NOT PRINT"/>
        </xsd:restriction>
      </xsd:simpleType>
    </xsd:element>
  </xsd:schema>
  <xsd:schema xmlns:xsd="http://www.w3.org/2001/XMLSchema" xmlns:xs="http://www.w3.org/2001/XMLSchema" xmlns:dms="http://schemas.microsoft.com/office/2006/documentManagement/types" xmlns:pc="http://schemas.microsoft.com/office/infopath/2007/PartnerControls" targetNamespace="8e5adf1f-43c2-470f-935e-dff54b24dae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C3158C-CCD9-449A-A15F-F010769B8475}">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0b39b100-34c8-42a1-9ad6-b6ff7a1420fd"/>
    <ds:schemaRef ds:uri="http://purl.org/dc/elements/1.1/"/>
    <ds:schemaRef ds:uri="http://schemas.microsoft.com/office/2006/metadata/properties"/>
    <ds:schemaRef ds:uri="8e5adf1f-43c2-470f-935e-dff54b24dae6"/>
    <ds:schemaRef ds:uri="http://www.w3.org/XML/1998/namespace"/>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429DAB99-38B7-4FC1-B900-1ED215761751}"/>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3</Pages>
  <Words>1065</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Module 4: Preparing to Train</vt:lpstr>
    </vt:vector>
  </TitlesOfParts>
  <Company>Office of Antiterrorism Assistance</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4: Preparing to Train</dc:title>
  <dc:subject>Cyber Awareness for Prosecutors</dc:subject>
  <dc:creator>HT</dc:creator>
  <cp:lastModifiedBy>Robins, Karen L</cp:lastModifiedBy>
  <cp:revision>10</cp:revision>
  <cp:lastPrinted>2025-06-10T15:33:00Z</cp:lastPrinted>
  <dcterms:created xsi:type="dcterms:W3CDTF">2025-02-07T20:47:00Z</dcterms:created>
  <dcterms:modified xsi:type="dcterms:W3CDTF">2025-06-10T15:33:00Z</dcterms:modified>
  <cp:category>Addendum 4.2: Guidelines for Using Classroom Equipment</cp:category>
  <cp:contentStatus>v#.##</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0x0101001F551F65A596BA41B3A43279701C5FCA</vt:lpwstr>
  </property>
  <property fmtid="{D5CDD505-2E9C-101B-9397-08002B2CF9AE}" pid="3" name="MSIP_Label_1665d9ee-429a-4d5f-97cc-cfb56e044a6e_Enabled">
    <vt:lpwstr>true</vt:lpwstr>
  </property>
  <property fmtid="{D5CDD505-2E9C-101B-9397-08002B2CF9AE}" pid="4" name="MSIP_Label_1665d9ee-429a-4d5f-97cc-cfb56e044a6e_SetDate">
    <vt:lpwstr>2025-02-07T20:47:30Z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21d0f822-c932-4b6d-b5c3-843b77a1b55a</vt:lpwstr>
  </property>
  <property fmtid="{D5CDD505-2E9C-101B-9397-08002B2CF9AE}" pid="9" name="MSIP_Label_1665d9ee-429a-4d5f-97cc-cfb56e044a6e_ContentBits">
    <vt:lpwstr>0</vt:lpwstr>
  </property>
  <property fmtid="{D5CDD505-2E9C-101B-9397-08002B2CF9AE}" pid="10" name="MSIP_Label_1665d9ee-429a-4d5f-97cc-cfb56e044a6e_Tag">
    <vt:lpwstr>10, 0, 1, 2</vt:lpwstr>
  </property>
</Properties>
</file>