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DFFB" w14:textId="77777777" w:rsidR="00CB5630" w:rsidRDefault="00CB5630" w:rsidP="00895113">
      <w:pPr>
        <w:pStyle w:val="ATAModuleTitle"/>
      </w:pPr>
      <w:r w:rsidRPr="008B6657">
        <w:t>Glossary</w:t>
      </w:r>
      <w:r>
        <w:br/>
      </w:r>
      <w:r w:rsidR="00895113" w:rsidRPr="008B6657">
        <w:rPr>
          <w:rFonts w:hint="eastAsia"/>
          <w:b w:val="0"/>
          <w:bCs/>
          <w:sz w:val="28"/>
          <w:szCs w:val="28"/>
          <w:rtl/>
        </w:rPr>
        <w:t>دليل</w:t>
      </w:r>
      <w:r w:rsidR="00895113" w:rsidRPr="008B6657">
        <w:rPr>
          <w:b w:val="0"/>
          <w:bCs/>
          <w:sz w:val="28"/>
          <w:szCs w:val="28"/>
          <w:rtl/>
        </w:rPr>
        <w:t xml:space="preserve"> </w:t>
      </w:r>
      <w:r w:rsidR="00895113" w:rsidRPr="008B6657">
        <w:rPr>
          <w:rFonts w:hint="eastAsia"/>
          <w:b w:val="0"/>
          <w:bCs/>
          <w:sz w:val="28"/>
          <w:szCs w:val="28"/>
          <w:rtl/>
        </w:rPr>
        <w:t>المصطلحات</w:t>
      </w:r>
    </w:p>
    <w:p w14:paraId="425B6053" w14:textId="77777777" w:rsidR="000F6D1B" w:rsidRDefault="000F6D1B" w:rsidP="00CB5630">
      <w:pPr>
        <w:pStyle w:val="NoSpacing"/>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440"/>
        <w:gridCol w:w="3600"/>
        <w:gridCol w:w="3600"/>
        <w:gridCol w:w="1440"/>
        <w:gridCol w:w="2160"/>
      </w:tblGrid>
      <w:tr w:rsidR="007B5806" w:rsidRPr="007C33D9" w14:paraId="6D18596C" w14:textId="77777777" w:rsidTr="009A0FDF">
        <w:trPr>
          <w:trHeight w:val="300"/>
        </w:trPr>
        <w:tc>
          <w:tcPr>
            <w:tcW w:w="2160" w:type="dxa"/>
            <w:shd w:val="clear" w:color="auto" w:fill="A6A6A6"/>
            <w:noWrap/>
          </w:tcPr>
          <w:p w14:paraId="468B1636" w14:textId="77777777" w:rsidR="007B5806" w:rsidRPr="007B5806" w:rsidRDefault="007B5806" w:rsidP="007B5806">
            <w:pPr>
              <w:spacing w:after="0" w:line="240" w:lineRule="auto"/>
              <w:rPr>
                <w:rFonts w:eastAsia="Times New Roman"/>
                <w:b/>
                <w:bCs/>
                <w:color w:val="000000"/>
              </w:rPr>
            </w:pPr>
            <w:r w:rsidRPr="007B5806">
              <w:rPr>
                <w:rFonts w:eastAsia="Times New Roman"/>
                <w:b/>
                <w:bCs/>
                <w:color w:val="000000"/>
              </w:rPr>
              <w:t>Key Term</w:t>
            </w:r>
          </w:p>
        </w:tc>
        <w:tc>
          <w:tcPr>
            <w:tcW w:w="1440" w:type="dxa"/>
            <w:shd w:val="clear" w:color="auto" w:fill="A6A6A6"/>
            <w:noWrap/>
          </w:tcPr>
          <w:p w14:paraId="60DFE916" w14:textId="77777777" w:rsidR="007B5806" w:rsidRPr="007B5806" w:rsidRDefault="007B5806" w:rsidP="007B5806">
            <w:pPr>
              <w:spacing w:after="0" w:line="240" w:lineRule="auto"/>
              <w:rPr>
                <w:rFonts w:eastAsia="Times New Roman"/>
                <w:b/>
                <w:bCs/>
                <w:color w:val="000000"/>
              </w:rPr>
            </w:pPr>
            <w:r w:rsidRPr="007B5806">
              <w:rPr>
                <w:rFonts w:eastAsia="Times New Roman"/>
                <w:b/>
                <w:bCs/>
                <w:color w:val="000000"/>
              </w:rPr>
              <w:t>Acronym/</w:t>
            </w:r>
            <w:r w:rsidRPr="007B5806">
              <w:rPr>
                <w:rFonts w:eastAsia="Times New Roman"/>
                <w:b/>
                <w:bCs/>
                <w:color w:val="000000"/>
              </w:rPr>
              <w:br/>
              <w:t>Synonym</w:t>
            </w:r>
          </w:p>
        </w:tc>
        <w:tc>
          <w:tcPr>
            <w:tcW w:w="3600" w:type="dxa"/>
            <w:shd w:val="clear" w:color="auto" w:fill="A6A6A6"/>
            <w:noWrap/>
          </w:tcPr>
          <w:p w14:paraId="08FDD82C" w14:textId="77777777" w:rsidR="007B5806" w:rsidRPr="008B6657" w:rsidRDefault="007B5806" w:rsidP="007B5806">
            <w:pPr>
              <w:spacing w:after="0" w:line="240" w:lineRule="auto"/>
              <w:rPr>
                <w:rFonts w:eastAsia="Times New Roman"/>
                <w:b/>
                <w:bCs/>
                <w:color w:val="000000"/>
              </w:rPr>
            </w:pPr>
            <w:r w:rsidRPr="008B6657">
              <w:rPr>
                <w:rFonts w:eastAsia="Times New Roman"/>
                <w:b/>
                <w:bCs/>
                <w:color w:val="000000"/>
              </w:rPr>
              <w:t>Description</w:t>
            </w:r>
          </w:p>
        </w:tc>
        <w:tc>
          <w:tcPr>
            <w:tcW w:w="3600" w:type="dxa"/>
            <w:shd w:val="clear" w:color="auto" w:fill="A6A6A6"/>
            <w:noWrap/>
          </w:tcPr>
          <w:p w14:paraId="0D5AC809" w14:textId="77777777" w:rsidR="007B5806" w:rsidRPr="008B6657" w:rsidRDefault="007B5806" w:rsidP="007B5806">
            <w:pPr>
              <w:bidi/>
              <w:spacing w:after="0" w:line="240" w:lineRule="auto"/>
              <w:rPr>
                <w:rFonts w:eastAsia="Times New Roman"/>
                <w:b/>
                <w:bCs/>
                <w:color w:val="000000"/>
                <w:rtl/>
              </w:rPr>
            </w:pPr>
            <w:r w:rsidRPr="008B6657">
              <w:rPr>
                <w:rFonts w:eastAsia="Times New Roman" w:hint="cs"/>
                <w:b/>
                <w:bCs/>
                <w:color w:val="000000"/>
                <w:rtl/>
              </w:rPr>
              <w:t>الوصف</w:t>
            </w:r>
          </w:p>
        </w:tc>
        <w:tc>
          <w:tcPr>
            <w:tcW w:w="1440" w:type="dxa"/>
            <w:shd w:val="clear" w:color="auto" w:fill="A6A6A6"/>
            <w:noWrap/>
          </w:tcPr>
          <w:p w14:paraId="6EB8AFA6" w14:textId="77777777" w:rsidR="007B5806" w:rsidRPr="007B5806" w:rsidRDefault="007B5806" w:rsidP="007B5806">
            <w:pPr>
              <w:spacing w:after="0" w:line="240" w:lineRule="auto"/>
              <w:rPr>
                <w:rFonts w:eastAsia="Times New Roman"/>
                <w:b/>
                <w:bCs/>
                <w:color w:val="000000"/>
              </w:rPr>
            </w:pPr>
            <w:proofErr w:type="spellStart"/>
            <w:r w:rsidRPr="007B5806">
              <w:rPr>
                <w:rFonts w:eastAsia="Times New Roman" w:hint="cs"/>
                <w:b/>
                <w:bCs/>
                <w:color w:val="000000"/>
                <w:rtl/>
              </w:rPr>
              <w:t>الإختصار</w:t>
            </w:r>
            <w:proofErr w:type="spellEnd"/>
            <w:r w:rsidRPr="007B5806">
              <w:rPr>
                <w:rFonts w:eastAsia="Times New Roman"/>
                <w:b/>
                <w:bCs/>
                <w:color w:val="000000"/>
                <w:rtl/>
              </w:rPr>
              <w:t>/</w:t>
            </w:r>
            <w:r w:rsidRPr="007B5806">
              <w:rPr>
                <w:rFonts w:eastAsia="Times New Roman"/>
                <w:b/>
                <w:bCs/>
                <w:color w:val="000000"/>
              </w:rPr>
              <w:br/>
            </w:r>
            <w:r w:rsidRPr="007B5806">
              <w:rPr>
                <w:rFonts w:eastAsia="Times New Roman" w:hint="cs"/>
                <w:b/>
                <w:bCs/>
                <w:color w:val="000000"/>
                <w:rtl/>
              </w:rPr>
              <w:t>المرادف</w:t>
            </w:r>
          </w:p>
        </w:tc>
        <w:tc>
          <w:tcPr>
            <w:tcW w:w="2160" w:type="dxa"/>
            <w:shd w:val="clear" w:color="auto" w:fill="A6A6A6"/>
            <w:noWrap/>
          </w:tcPr>
          <w:p w14:paraId="3E375DDA" w14:textId="77777777" w:rsidR="007B5806" w:rsidRPr="007B5806" w:rsidRDefault="007B5806" w:rsidP="007B5806">
            <w:pPr>
              <w:bidi/>
              <w:spacing w:after="0" w:line="240" w:lineRule="auto"/>
              <w:rPr>
                <w:rFonts w:eastAsia="Times New Roman"/>
                <w:b/>
                <w:bCs/>
                <w:color w:val="000000"/>
                <w:rtl/>
                <w:lang w:bidi="ar-EG"/>
              </w:rPr>
            </w:pPr>
            <w:r w:rsidRPr="007B5806">
              <w:rPr>
                <w:rFonts w:eastAsia="Times New Roman" w:hint="cs"/>
                <w:b/>
                <w:bCs/>
                <w:color w:val="000000"/>
                <w:rtl/>
                <w:lang w:bidi="ar-EG"/>
              </w:rPr>
              <w:t>المصطلح</w:t>
            </w:r>
            <w:r w:rsidRPr="007B5806">
              <w:rPr>
                <w:rFonts w:eastAsia="Times New Roman"/>
                <w:b/>
                <w:bCs/>
                <w:color w:val="000000"/>
                <w:rtl/>
                <w:lang w:bidi="ar-EG"/>
              </w:rPr>
              <w:t xml:space="preserve"> </w:t>
            </w:r>
            <w:r w:rsidRPr="007B5806">
              <w:rPr>
                <w:rFonts w:eastAsia="Times New Roman" w:hint="cs"/>
                <w:b/>
                <w:bCs/>
                <w:color w:val="000000"/>
                <w:rtl/>
                <w:lang w:bidi="ar-EG"/>
              </w:rPr>
              <w:t>الرئيسي</w:t>
            </w:r>
          </w:p>
        </w:tc>
      </w:tr>
      <w:tr w:rsidR="007B5806" w:rsidRPr="007C33D9" w14:paraId="649E8D44" w14:textId="77777777" w:rsidTr="007B5806">
        <w:trPr>
          <w:trHeight w:val="300"/>
        </w:trPr>
        <w:tc>
          <w:tcPr>
            <w:tcW w:w="2160" w:type="dxa"/>
            <w:shd w:val="clear" w:color="auto" w:fill="auto"/>
            <w:noWrap/>
            <w:hideMark/>
          </w:tcPr>
          <w:p w14:paraId="5A2B6D4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access</w:t>
            </w:r>
          </w:p>
        </w:tc>
        <w:tc>
          <w:tcPr>
            <w:tcW w:w="1440" w:type="dxa"/>
            <w:shd w:val="clear" w:color="auto" w:fill="auto"/>
            <w:noWrap/>
            <w:hideMark/>
          </w:tcPr>
          <w:p w14:paraId="4F0C5678"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75E285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ability to gain entrance to asset</w:t>
            </w:r>
          </w:p>
        </w:tc>
        <w:tc>
          <w:tcPr>
            <w:tcW w:w="3600" w:type="dxa"/>
            <w:shd w:val="clear" w:color="auto" w:fill="auto"/>
            <w:noWrap/>
            <w:hideMark/>
          </w:tcPr>
          <w:p w14:paraId="623E56EA"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القدرة على دخول المنشأة</w:t>
            </w:r>
          </w:p>
        </w:tc>
        <w:tc>
          <w:tcPr>
            <w:tcW w:w="1440" w:type="dxa"/>
            <w:shd w:val="clear" w:color="auto" w:fill="auto"/>
            <w:noWrap/>
            <w:hideMark/>
          </w:tcPr>
          <w:p w14:paraId="0C992986"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ADABD56"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الدخول</w:t>
            </w:r>
          </w:p>
        </w:tc>
      </w:tr>
      <w:tr w:rsidR="007B5806" w:rsidRPr="007C33D9" w14:paraId="331ECF39" w14:textId="77777777" w:rsidTr="007B5806">
        <w:trPr>
          <w:trHeight w:val="300"/>
        </w:trPr>
        <w:tc>
          <w:tcPr>
            <w:tcW w:w="2160" w:type="dxa"/>
            <w:shd w:val="clear" w:color="auto" w:fill="auto"/>
            <w:noWrap/>
            <w:hideMark/>
          </w:tcPr>
          <w:p w14:paraId="319E61D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active sensor</w:t>
            </w:r>
          </w:p>
        </w:tc>
        <w:tc>
          <w:tcPr>
            <w:tcW w:w="1440" w:type="dxa"/>
            <w:shd w:val="clear" w:color="auto" w:fill="auto"/>
            <w:noWrap/>
            <w:hideMark/>
          </w:tcPr>
          <w:p w14:paraId="241B48E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5C94FD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electronic device that transmits energy and detects change in the received energy</w:t>
            </w:r>
          </w:p>
        </w:tc>
        <w:tc>
          <w:tcPr>
            <w:tcW w:w="3600" w:type="dxa"/>
            <w:shd w:val="clear" w:color="auto" w:fill="auto"/>
            <w:noWrap/>
            <w:hideMark/>
          </w:tcPr>
          <w:p w14:paraId="5708B73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جهاز الكتروني يبث الطاقة ويرصد التغيرات في موجات الطاقة التي يتم استقبالها</w:t>
            </w:r>
          </w:p>
        </w:tc>
        <w:tc>
          <w:tcPr>
            <w:tcW w:w="1440" w:type="dxa"/>
            <w:shd w:val="clear" w:color="auto" w:fill="auto"/>
            <w:noWrap/>
            <w:hideMark/>
          </w:tcPr>
          <w:p w14:paraId="046A414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B5626E3"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 xml:space="preserve">جهاز </w:t>
            </w:r>
            <w:proofErr w:type="spellStart"/>
            <w:r w:rsidRPr="007C33D9">
              <w:rPr>
                <w:rFonts w:eastAsia="Times New Roman"/>
                <w:b/>
                <w:bCs/>
                <w:color w:val="000000"/>
                <w:rtl/>
              </w:rPr>
              <w:t>الإستشعار</w:t>
            </w:r>
            <w:proofErr w:type="spellEnd"/>
            <w:r w:rsidRPr="007C33D9">
              <w:rPr>
                <w:rFonts w:eastAsia="Times New Roman"/>
                <w:b/>
                <w:bCs/>
                <w:color w:val="000000"/>
                <w:rtl/>
              </w:rPr>
              <w:t xml:space="preserve"> النشط</w:t>
            </w:r>
          </w:p>
        </w:tc>
      </w:tr>
      <w:tr w:rsidR="007B5806" w:rsidRPr="007C33D9" w14:paraId="488A3867" w14:textId="77777777" w:rsidTr="007B5806">
        <w:trPr>
          <w:trHeight w:val="300"/>
        </w:trPr>
        <w:tc>
          <w:tcPr>
            <w:tcW w:w="2160" w:type="dxa"/>
            <w:shd w:val="clear" w:color="auto" w:fill="auto"/>
            <w:noWrap/>
            <w:hideMark/>
          </w:tcPr>
          <w:p w14:paraId="400081D1"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addendum</w:t>
            </w:r>
          </w:p>
        </w:tc>
        <w:tc>
          <w:tcPr>
            <w:tcW w:w="1440" w:type="dxa"/>
            <w:shd w:val="clear" w:color="auto" w:fill="auto"/>
            <w:noWrap/>
            <w:hideMark/>
          </w:tcPr>
          <w:p w14:paraId="6E810D08"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7DDF180"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An addendum contains resource material that supports the presentation or exercise. Examples include job aids or worksheets. Addendums </w:t>
            </w:r>
            <w:proofErr w:type="gramStart"/>
            <w:r w:rsidRPr="007C33D9">
              <w:rPr>
                <w:rFonts w:eastAsia="Times New Roman"/>
                <w:color w:val="000000"/>
              </w:rPr>
              <w:t>are located in</w:t>
            </w:r>
            <w:proofErr w:type="gramEnd"/>
            <w:r w:rsidRPr="007C33D9">
              <w:rPr>
                <w:rFonts w:eastAsia="Times New Roman"/>
                <w:color w:val="000000"/>
              </w:rPr>
              <w:t xml:space="preserve"> the Participant Guide.</w:t>
            </w:r>
          </w:p>
        </w:tc>
        <w:tc>
          <w:tcPr>
            <w:tcW w:w="3600" w:type="dxa"/>
            <w:shd w:val="clear" w:color="auto" w:fill="auto"/>
            <w:noWrap/>
            <w:hideMark/>
          </w:tcPr>
          <w:p w14:paraId="4886B69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يحتوي الملحق على مواد وموارد لدعم العرض أو التمرين. تتضمن الأمثلة وسائل الإيضاح أو أوراق العمل. الملاحق موجودة في دليل المشارك.</w:t>
            </w:r>
          </w:p>
        </w:tc>
        <w:tc>
          <w:tcPr>
            <w:tcW w:w="1440" w:type="dxa"/>
            <w:shd w:val="clear" w:color="auto" w:fill="auto"/>
            <w:noWrap/>
            <w:hideMark/>
          </w:tcPr>
          <w:p w14:paraId="731842DB"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4C9B0A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الملحق</w:t>
            </w:r>
          </w:p>
        </w:tc>
      </w:tr>
      <w:tr w:rsidR="007B5806" w:rsidRPr="007C33D9" w14:paraId="7891BDA1" w14:textId="77777777" w:rsidTr="007B5806">
        <w:trPr>
          <w:trHeight w:val="300"/>
        </w:trPr>
        <w:tc>
          <w:tcPr>
            <w:tcW w:w="2160" w:type="dxa"/>
            <w:shd w:val="clear" w:color="auto" w:fill="auto"/>
            <w:noWrap/>
            <w:hideMark/>
          </w:tcPr>
          <w:p w14:paraId="79A2A36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adversary</w:t>
            </w:r>
          </w:p>
        </w:tc>
        <w:tc>
          <w:tcPr>
            <w:tcW w:w="1440" w:type="dxa"/>
            <w:shd w:val="clear" w:color="auto" w:fill="auto"/>
            <w:noWrap/>
            <w:hideMark/>
          </w:tcPr>
          <w:p w14:paraId="6F648EE5"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FCAE29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individual, group, organization, or government that conducts activities, or has the intention and capability to conduct activities, detrimental to a government or facility</w:t>
            </w:r>
          </w:p>
        </w:tc>
        <w:tc>
          <w:tcPr>
            <w:tcW w:w="3600" w:type="dxa"/>
            <w:shd w:val="clear" w:color="auto" w:fill="auto"/>
            <w:noWrap/>
            <w:hideMark/>
          </w:tcPr>
          <w:p w14:paraId="2563E7B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فرد أو جماعة، أو منظمة، </w:t>
            </w:r>
            <w:proofErr w:type="spellStart"/>
            <w:r w:rsidRPr="007C33D9">
              <w:rPr>
                <w:rFonts w:eastAsia="Times New Roman"/>
                <w:color w:val="000000"/>
                <w:rtl/>
              </w:rPr>
              <w:t>أوحكومة</w:t>
            </w:r>
            <w:proofErr w:type="spellEnd"/>
            <w:r w:rsidRPr="007C33D9">
              <w:rPr>
                <w:rFonts w:eastAsia="Times New Roman"/>
                <w:color w:val="000000"/>
                <w:rtl/>
              </w:rPr>
              <w:t xml:space="preserve"> تقوم بأنشطة، أو لها </w:t>
            </w:r>
            <w:proofErr w:type="gramStart"/>
            <w:r w:rsidRPr="007C33D9">
              <w:rPr>
                <w:rFonts w:eastAsia="Times New Roman"/>
                <w:color w:val="000000"/>
                <w:rtl/>
              </w:rPr>
              <w:t>نوايا</w:t>
            </w:r>
            <w:proofErr w:type="gramEnd"/>
            <w:r w:rsidRPr="007C33D9">
              <w:rPr>
                <w:rFonts w:eastAsia="Times New Roman"/>
                <w:color w:val="000000"/>
                <w:rtl/>
              </w:rPr>
              <w:t xml:space="preserve"> ومقدرة على القيام بأنشطة من شأنها إلحاق الأذى بالحكومة أو المرافق</w:t>
            </w:r>
          </w:p>
        </w:tc>
        <w:tc>
          <w:tcPr>
            <w:tcW w:w="1440" w:type="dxa"/>
            <w:shd w:val="clear" w:color="auto" w:fill="auto"/>
            <w:noWrap/>
            <w:hideMark/>
          </w:tcPr>
          <w:p w14:paraId="04BD331F"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95EE55B"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الخصم</w:t>
            </w:r>
          </w:p>
        </w:tc>
      </w:tr>
      <w:tr w:rsidR="007B5806" w:rsidRPr="007C33D9" w14:paraId="0E694534" w14:textId="77777777" w:rsidTr="007B5806">
        <w:trPr>
          <w:trHeight w:val="300"/>
        </w:trPr>
        <w:tc>
          <w:tcPr>
            <w:tcW w:w="2160" w:type="dxa"/>
            <w:shd w:val="clear" w:color="auto" w:fill="auto"/>
            <w:noWrap/>
            <w:hideMark/>
          </w:tcPr>
          <w:p w14:paraId="0A24C71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animation</w:t>
            </w:r>
          </w:p>
        </w:tc>
        <w:tc>
          <w:tcPr>
            <w:tcW w:w="1440" w:type="dxa"/>
            <w:shd w:val="clear" w:color="auto" w:fill="auto"/>
            <w:noWrap/>
            <w:hideMark/>
          </w:tcPr>
          <w:p w14:paraId="3FF5C180"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20D1BAC"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animation is a moving graphic element on a PowerPoint slide and is designed to illustrate key course concepts.</w:t>
            </w:r>
          </w:p>
        </w:tc>
        <w:tc>
          <w:tcPr>
            <w:tcW w:w="3600" w:type="dxa"/>
            <w:shd w:val="clear" w:color="auto" w:fill="auto"/>
            <w:noWrap/>
            <w:hideMark/>
          </w:tcPr>
          <w:p w14:paraId="5BEB7CF5"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التصوير الحركي </w:t>
            </w:r>
            <w:proofErr w:type="gramStart"/>
            <w:r w:rsidRPr="007C33D9">
              <w:rPr>
                <w:rFonts w:eastAsia="Times New Roman"/>
                <w:color w:val="000000"/>
                <w:rtl/>
              </w:rPr>
              <w:t>هو  مكون</w:t>
            </w:r>
            <w:proofErr w:type="gramEnd"/>
            <w:r w:rsidRPr="007C33D9">
              <w:rPr>
                <w:rFonts w:eastAsia="Times New Roman"/>
                <w:color w:val="000000"/>
                <w:rtl/>
              </w:rPr>
              <w:t xml:space="preserve"> صوري متحرك على شريحة </w:t>
            </w:r>
            <w:proofErr w:type="spellStart"/>
            <w:r w:rsidRPr="007C33D9">
              <w:rPr>
                <w:rFonts w:eastAsia="Times New Roman"/>
                <w:color w:val="000000"/>
                <w:rtl/>
              </w:rPr>
              <w:t>الباور</w:t>
            </w:r>
            <w:proofErr w:type="spellEnd"/>
            <w:r w:rsidRPr="007C33D9">
              <w:rPr>
                <w:rFonts w:eastAsia="Times New Roman"/>
                <w:color w:val="000000"/>
                <w:rtl/>
              </w:rPr>
              <w:t xml:space="preserve"> بوينت ويكون مصمماً لغرض إيضاح مفاهيم أساسية خاصة بالدورة. </w:t>
            </w:r>
          </w:p>
        </w:tc>
        <w:tc>
          <w:tcPr>
            <w:tcW w:w="1440" w:type="dxa"/>
            <w:shd w:val="clear" w:color="auto" w:fill="auto"/>
            <w:noWrap/>
            <w:hideMark/>
          </w:tcPr>
          <w:p w14:paraId="7425BD4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6DB842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تصوير حركي</w:t>
            </w:r>
          </w:p>
        </w:tc>
      </w:tr>
      <w:tr w:rsidR="007B5806" w:rsidRPr="007C33D9" w14:paraId="7FB53B73" w14:textId="77777777" w:rsidTr="007B5806">
        <w:trPr>
          <w:trHeight w:val="300"/>
        </w:trPr>
        <w:tc>
          <w:tcPr>
            <w:tcW w:w="2160" w:type="dxa"/>
            <w:shd w:val="clear" w:color="auto" w:fill="auto"/>
            <w:noWrap/>
            <w:hideMark/>
          </w:tcPr>
          <w:p w14:paraId="7790937C"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application whitelisting</w:t>
            </w:r>
          </w:p>
        </w:tc>
        <w:tc>
          <w:tcPr>
            <w:tcW w:w="1440" w:type="dxa"/>
            <w:shd w:val="clear" w:color="auto" w:fill="auto"/>
            <w:noWrap/>
            <w:hideMark/>
          </w:tcPr>
          <w:p w14:paraId="0076F3B6"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E7043B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A proactive security technique where only a limited set of approved programs are allowed to run, while all other programs (including most malicious software) are blocked from running by default; enables only the administrators, not the users, to </w:t>
            </w:r>
            <w:r w:rsidRPr="007C33D9">
              <w:rPr>
                <w:rFonts w:eastAsia="Times New Roman"/>
                <w:color w:val="000000"/>
              </w:rPr>
              <w:lastRenderedPageBreak/>
              <w:t>decide which programs are allowed to run</w:t>
            </w:r>
          </w:p>
        </w:tc>
        <w:tc>
          <w:tcPr>
            <w:tcW w:w="3600" w:type="dxa"/>
            <w:shd w:val="clear" w:color="auto" w:fill="auto"/>
            <w:noWrap/>
            <w:hideMark/>
          </w:tcPr>
          <w:p w14:paraId="63E39375"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lastRenderedPageBreak/>
              <w:t>أسلوب أمني استباقي حيث يتم السماح فقط لعدد محدود من البرامج الموثوقة بالعمل دون سائر البرامج (بما في ذلك البرمجيات الضارة) حيث يتم منعها من العمل من الأساس؛ ويتم التحكم عن طريق الإدارة وليس المستخدمين لتحديد البرامج التي سيتم السماح لها بالعمل</w:t>
            </w:r>
          </w:p>
        </w:tc>
        <w:tc>
          <w:tcPr>
            <w:tcW w:w="1440" w:type="dxa"/>
            <w:shd w:val="clear" w:color="auto" w:fill="auto"/>
            <w:noWrap/>
            <w:hideMark/>
          </w:tcPr>
          <w:p w14:paraId="2C9CE72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A5D132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تطبيق نظام القائمة البيضاء</w:t>
            </w:r>
          </w:p>
        </w:tc>
      </w:tr>
      <w:tr w:rsidR="007B5806" w:rsidRPr="007C33D9" w14:paraId="1F854FAC" w14:textId="77777777" w:rsidTr="007B5806">
        <w:trPr>
          <w:trHeight w:val="300"/>
        </w:trPr>
        <w:tc>
          <w:tcPr>
            <w:tcW w:w="2160" w:type="dxa"/>
            <w:shd w:val="clear" w:color="auto" w:fill="auto"/>
            <w:noWrap/>
            <w:hideMark/>
          </w:tcPr>
          <w:p w14:paraId="66B69B0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area lighting</w:t>
            </w:r>
          </w:p>
        </w:tc>
        <w:tc>
          <w:tcPr>
            <w:tcW w:w="1440" w:type="dxa"/>
            <w:shd w:val="clear" w:color="auto" w:fill="auto"/>
            <w:noWrap/>
            <w:hideMark/>
          </w:tcPr>
          <w:p w14:paraId="0665EC8E"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F30BFFB"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Artificial illumination that exposes locations inside the perimeter that intruders must cross </w:t>
            </w:r>
            <w:proofErr w:type="gramStart"/>
            <w:r w:rsidRPr="007C33D9">
              <w:rPr>
                <w:rFonts w:eastAsia="Times New Roman"/>
                <w:color w:val="000000"/>
              </w:rPr>
              <w:t>in order to</w:t>
            </w:r>
            <w:proofErr w:type="gramEnd"/>
            <w:r w:rsidRPr="007C33D9">
              <w:rPr>
                <w:rFonts w:eastAsia="Times New Roman"/>
                <w:color w:val="000000"/>
              </w:rPr>
              <w:t xml:space="preserve"> reach their objectives</w:t>
            </w:r>
          </w:p>
        </w:tc>
        <w:tc>
          <w:tcPr>
            <w:tcW w:w="3600" w:type="dxa"/>
            <w:shd w:val="clear" w:color="auto" w:fill="auto"/>
            <w:noWrap/>
            <w:hideMark/>
          </w:tcPr>
          <w:p w14:paraId="5C41C31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مصادر الإضاءة </w:t>
            </w:r>
            <w:proofErr w:type="spellStart"/>
            <w:r w:rsidRPr="007C33D9">
              <w:rPr>
                <w:rFonts w:eastAsia="Times New Roman"/>
                <w:color w:val="000000"/>
                <w:rtl/>
              </w:rPr>
              <w:t>الإصطناعية</w:t>
            </w:r>
            <w:proofErr w:type="spellEnd"/>
            <w:r w:rsidRPr="007C33D9">
              <w:rPr>
                <w:rFonts w:eastAsia="Times New Roman"/>
                <w:color w:val="000000"/>
                <w:rtl/>
              </w:rPr>
              <w:t xml:space="preserve"> التي تكشف المناطق الداخلة في الإطار المحيطي الذي يجب أن يخترقه المتسللون للوصول إلى أهدافهم</w:t>
            </w:r>
          </w:p>
        </w:tc>
        <w:tc>
          <w:tcPr>
            <w:tcW w:w="1440" w:type="dxa"/>
            <w:shd w:val="clear" w:color="auto" w:fill="auto"/>
            <w:noWrap/>
            <w:hideMark/>
          </w:tcPr>
          <w:p w14:paraId="61E6516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BCE970A"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إضاءة المنطقة</w:t>
            </w:r>
          </w:p>
        </w:tc>
      </w:tr>
      <w:tr w:rsidR="007B5806" w:rsidRPr="007C33D9" w14:paraId="17CBE54B" w14:textId="77777777" w:rsidTr="007B5806">
        <w:trPr>
          <w:trHeight w:val="300"/>
        </w:trPr>
        <w:tc>
          <w:tcPr>
            <w:tcW w:w="2160" w:type="dxa"/>
            <w:shd w:val="clear" w:color="auto" w:fill="auto"/>
            <w:noWrap/>
            <w:hideMark/>
          </w:tcPr>
          <w:p w14:paraId="584E48A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assessment</w:t>
            </w:r>
          </w:p>
        </w:tc>
        <w:tc>
          <w:tcPr>
            <w:tcW w:w="1440" w:type="dxa"/>
            <w:shd w:val="clear" w:color="auto" w:fill="auto"/>
            <w:noWrap/>
            <w:hideMark/>
          </w:tcPr>
          <w:p w14:paraId="4E473B30"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DB68392"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necessary step in the detection process to ensure whatever caused the alarm can be identified</w:t>
            </w:r>
          </w:p>
        </w:tc>
        <w:tc>
          <w:tcPr>
            <w:tcW w:w="3600" w:type="dxa"/>
            <w:shd w:val="clear" w:color="auto" w:fill="auto"/>
            <w:noWrap/>
            <w:hideMark/>
          </w:tcPr>
          <w:p w14:paraId="7DE2376D"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مرحلة ضرورية في عملية الرصد لضمان التعرف على سبب </w:t>
            </w:r>
            <w:proofErr w:type="spellStart"/>
            <w:r w:rsidRPr="007C33D9">
              <w:rPr>
                <w:rFonts w:eastAsia="Times New Roman"/>
                <w:color w:val="000000"/>
                <w:rtl/>
              </w:rPr>
              <w:t>إنطلاق</w:t>
            </w:r>
            <w:proofErr w:type="spellEnd"/>
            <w:r w:rsidRPr="007C33D9">
              <w:rPr>
                <w:rFonts w:eastAsia="Times New Roman"/>
                <w:color w:val="000000"/>
                <w:rtl/>
              </w:rPr>
              <w:t xml:space="preserve"> صفارة جهاز الإنذار</w:t>
            </w:r>
          </w:p>
        </w:tc>
        <w:tc>
          <w:tcPr>
            <w:tcW w:w="1440" w:type="dxa"/>
            <w:shd w:val="clear" w:color="auto" w:fill="auto"/>
            <w:noWrap/>
            <w:hideMark/>
          </w:tcPr>
          <w:p w14:paraId="6A75440F"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FC0F03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التقييم</w:t>
            </w:r>
          </w:p>
        </w:tc>
      </w:tr>
      <w:tr w:rsidR="007B5806" w:rsidRPr="007C33D9" w14:paraId="51569DC0" w14:textId="77777777" w:rsidTr="007B5806">
        <w:trPr>
          <w:trHeight w:val="300"/>
        </w:trPr>
        <w:tc>
          <w:tcPr>
            <w:tcW w:w="2160" w:type="dxa"/>
            <w:shd w:val="clear" w:color="auto" w:fill="auto"/>
            <w:noWrap/>
            <w:hideMark/>
          </w:tcPr>
          <w:p w14:paraId="04281F07"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asset</w:t>
            </w:r>
          </w:p>
        </w:tc>
        <w:tc>
          <w:tcPr>
            <w:tcW w:w="1440" w:type="dxa"/>
            <w:shd w:val="clear" w:color="auto" w:fill="auto"/>
            <w:noWrap/>
            <w:hideMark/>
          </w:tcPr>
          <w:p w14:paraId="123B0C8A"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E5CB80F"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Person, structure, facility, information, material, or process that has value</w:t>
            </w:r>
          </w:p>
        </w:tc>
        <w:tc>
          <w:tcPr>
            <w:tcW w:w="3600" w:type="dxa"/>
            <w:shd w:val="clear" w:color="auto" w:fill="auto"/>
            <w:noWrap/>
            <w:hideMark/>
          </w:tcPr>
          <w:p w14:paraId="460E24EA"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الأفراد، والبنية، والمنشآت، والمعلومات، والمواد أو العمليات التي لها قيمة</w:t>
            </w:r>
          </w:p>
        </w:tc>
        <w:tc>
          <w:tcPr>
            <w:tcW w:w="1440" w:type="dxa"/>
            <w:shd w:val="clear" w:color="auto" w:fill="auto"/>
            <w:noWrap/>
            <w:hideMark/>
          </w:tcPr>
          <w:p w14:paraId="27AAFC73"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5A3A0A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الأصول</w:t>
            </w:r>
          </w:p>
        </w:tc>
      </w:tr>
      <w:tr w:rsidR="007B5806" w:rsidRPr="007C33D9" w14:paraId="740B3BAB" w14:textId="77777777" w:rsidTr="007B5806">
        <w:trPr>
          <w:trHeight w:val="300"/>
        </w:trPr>
        <w:tc>
          <w:tcPr>
            <w:tcW w:w="2160" w:type="dxa"/>
            <w:shd w:val="clear" w:color="auto" w:fill="auto"/>
            <w:noWrap/>
            <w:hideMark/>
          </w:tcPr>
          <w:p w14:paraId="02EEB75B"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asset analysis</w:t>
            </w:r>
          </w:p>
        </w:tc>
        <w:tc>
          <w:tcPr>
            <w:tcW w:w="1440" w:type="dxa"/>
            <w:shd w:val="clear" w:color="auto" w:fill="auto"/>
            <w:noWrap/>
            <w:hideMark/>
          </w:tcPr>
          <w:p w14:paraId="1AFCC10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D86E2E5"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complete description of the types of assets under each sector or category of critical infrastructure and the identification of undesirable consequences for each type</w:t>
            </w:r>
          </w:p>
        </w:tc>
        <w:tc>
          <w:tcPr>
            <w:tcW w:w="3600" w:type="dxa"/>
            <w:shd w:val="clear" w:color="auto" w:fill="auto"/>
            <w:noWrap/>
            <w:hideMark/>
          </w:tcPr>
          <w:p w14:paraId="6ABB4D7F"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الوصف الكامل لأنماط الأصول التي تندرج تحت كل قطاع أو فئة من البنية الأساسية الحرجة وتعريف العواقب غير المرغوبة الناجمة عن كل نمط</w:t>
            </w:r>
          </w:p>
        </w:tc>
        <w:tc>
          <w:tcPr>
            <w:tcW w:w="1440" w:type="dxa"/>
            <w:shd w:val="clear" w:color="auto" w:fill="auto"/>
            <w:noWrap/>
            <w:hideMark/>
          </w:tcPr>
          <w:p w14:paraId="2E98E6F7"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AE165CD"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تحليل الأصول</w:t>
            </w:r>
          </w:p>
        </w:tc>
      </w:tr>
      <w:tr w:rsidR="007B5806" w:rsidRPr="007C33D9" w14:paraId="6F04542E" w14:textId="77777777" w:rsidTr="007B5806">
        <w:trPr>
          <w:trHeight w:val="300"/>
        </w:trPr>
        <w:tc>
          <w:tcPr>
            <w:tcW w:w="2160" w:type="dxa"/>
            <w:shd w:val="clear" w:color="auto" w:fill="auto"/>
            <w:noWrap/>
            <w:hideMark/>
          </w:tcPr>
          <w:p w14:paraId="6DFCF2EC"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balanced protection</w:t>
            </w:r>
          </w:p>
        </w:tc>
        <w:tc>
          <w:tcPr>
            <w:tcW w:w="1440" w:type="dxa"/>
            <w:shd w:val="clear" w:color="auto" w:fill="auto"/>
            <w:noWrap/>
            <w:hideMark/>
          </w:tcPr>
          <w:p w14:paraId="1C0045D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184178E"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characteristic of an effective physical protection system that ensures no matter how a terrorist intruder attempts to accomplish the attack goal, the intruder will encounter effective elements of the physical protection system</w:t>
            </w:r>
          </w:p>
        </w:tc>
        <w:tc>
          <w:tcPr>
            <w:tcW w:w="3600" w:type="dxa"/>
            <w:shd w:val="clear" w:color="auto" w:fill="auto"/>
            <w:noWrap/>
            <w:hideMark/>
          </w:tcPr>
          <w:p w14:paraId="5388833E"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هي خاصية يتمتع بها نظام الحماية المادية الفعال، الغرض منها ضمان فشل محاولات الإرهابي الهجومية حيث يواجه العنصر المتسلل، حيثما توجه، عناصر فعالة من نظام الأمن المادي</w:t>
            </w:r>
          </w:p>
        </w:tc>
        <w:tc>
          <w:tcPr>
            <w:tcW w:w="1440" w:type="dxa"/>
            <w:shd w:val="clear" w:color="auto" w:fill="auto"/>
            <w:noWrap/>
            <w:hideMark/>
          </w:tcPr>
          <w:p w14:paraId="371FC780"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9355B8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الحماية المتوازنة</w:t>
            </w:r>
          </w:p>
        </w:tc>
      </w:tr>
      <w:tr w:rsidR="007B5806" w:rsidRPr="007C33D9" w14:paraId="67C55DCE" w14:textId="77777777" w:rsidTr="007B5806">
        <w:trPr>
          <w:trHeight w:val="300"/>
        </w:trPr>
        <w:tc>
          <w:tcPr>
            <w:tcW w:w="2160" w:type="dxa"/>
            <w:shd w:val="clear" w:color="auto" w:fill="auto"/>
            <w:noWrap/>
            <w:hideMark/>
          </w:tcPr>
          <w:p w14:paraId="141E4D4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binary explosive</w:t>
            </w:r>
          </w:p>
        </w:tc>
        <w:tc>
          <w:tcPr>
            <w:tcW w:w="1440" w:type="dxa"/>
            <w:shd w:val="clear" w:color="auto" w:fill="auto"/>
            <w:noWrap/>
            <w:hideMark/>
          </w:tcPr>
          <w:p w14:paraId="6986FA8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A46CCAF"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explosive manufactured and packaged in two different containers with each container housing a different component. Neither component is classified as an explosive until mixed when it becomes a detonator-sensitive explosive</w:t>
            </w:r>
          </w:p>
        </w:tc>
        <w:tc>
          <w:tcPr>
            <w:tcW w:w="3600" w:type="dxa"/>
            <w:shd w:val="clear" w:color="auto" w:fill="auto"/>
            <w:noWrap/>
            <w:hideMark/>
          </w:tcPr>
          <w:p w14:paraId="09275122"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مواد متفجرة يتم تصنيعها وتعبئتها في حاويتين مختلفتين تحتوي كل منها على مكوّن تفجيري مختلف ولا يعتبر أي المكونات كعنصر تفجيري إلا إذا تم مزجهما معاً فيتحول المزيج إلى شحنة ناسفة حساسة لجهاز التفجير</w:t>
            </w:r>
          </w:p>
        </w:tc>
        <w:tc>
          <w:tcPr>
            <w:tcW w:w="1440" w:type="dxa"/>
            <w:shd w:val="clear" w:color="auto" w:fill="auto"/>
            <w:noWrap/>
            <w:hideMark/>
          </w:tcPr>
          <w:p w14:paraId="44604D0F"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D790BC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المتفجرات الثنائية</w:t>
            </w:r>
          </w:p>
        </w:tc>
      </w:tr>
      <w:tr w:rsidR="007B5806" w:rsidRPr="007C33D9" w14:paraId="48C59C8D" w14:textId="77777777" w:rsidTr="007B5806">
        <w:trPr>
          <w:trHeight w:val="300"/>
        </w:trPr>
        <w:tc>
          <w:tcPr>
            <w:tcW w:w="2160" w:type="dxa"/>
            <w:shd w:val="clear" w:color="auto" w:fill="auto"/>
            <w:noWrap/>
            <w:hideMark/>
          </w:tcPr>
          <w:p w14:paraId="19AC8E7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bistatic microwave sensor</w:t>
            </w:r>
          </w:p>
        </w:tc>
        <w:tc>
          <w:tcPr>
            <w:tcW w:w="1440" w:type="dxa"/>
            <w:shd w:val="clear" w:color="auto" w:fill="auto"/>
            <w:noWrap/>
            <w:hideMark/>
          </w:tcPr>
          <w:p w14:paraId="0BE32569"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41ED20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electronic device composed of two identical microwave antennas installed at opposite ends of the detection zone</w:t>
            </w:r>
          </w:p>
        </w:tc>
        <w:tc>
          <w:tcPr>
            <w:tcW w:w="3600" w:type="dxa"/>
            <w:shd w:val="clear" w:color="auto" w:fill="auto"/>
            <w:noWrap/>
            <w:hideMark/>
          </w:tcPr>
          <w:p w14:paraId="4D6B7EA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جهاز الكتروني يتكون من 2 جهاز </w:t>
            </w:r>
            <w:proofErr w:type="spellStart"/>
            <w:r w:rsidRPr="007C33D9">
              <w:rPr>
                <w:rFonts w:eastAsia="Times New Roman"/>
                <w:color w:val="000000"/>
                <w:rtl/>
              </w:rPr>
              <w:t>إيريال</w:t>
            </w:r>
            <w:proofErr w:type="spellEnd"/>
            <w:r w:rsidRPr="007C33D9">
              <w:rPr>
                <w:rFonts w:eastAsia="Times New Roman"/>
                <w:color w:val="000000"/>
                <w:rtl/>
              </w:rPr>
              <w:t xml:space="preserve"> ميكروويف متماثلين ويتم تركيبهما على الطرفين المتقابلين من منطقة الرصد</w:t>
            </w:r>
          </w:p>
        </w:tc>
        <w:tc>
          <w:tcPr>
            <w:tcW w:w="1440" w:type="dxa"/>
            <w:shd w:val="clear" w:color="auto" w:fill="auto"/>
            <w:noWrap/>
            <w:hideMark/>
          </w:tcPr>
          <w:p w14:paraId="2FE6A40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E2FBF2B"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 xml:space="preserve">جهاز </w:t>
            </w:r>
            <w:proofErr w:type="spellStart"/>
            <w:r w:rsidRPr="007C33D9">
              <w:rPr>
                <w:rFonts w:eastAsia="Times New Roman"/>
                <w:b/>
                <w:bCs/>
                <w:color w:val="000000"/>
                <w:rtl/>
              </w:rPr>
              <w:t>الإستشعار</w:t>
            </w:r>
            <w:proofErr w:type="spellEnd"/>
            <w:r w:rsidRPr="007C33D9">
              <w:rPr>
                <w:rFonts w:eastAsia="Times New Roman"/>
                <w:b/>
                <w:bCs/>
                <w:color w:val="000000"/>
                <w:rtl/>
              </w:rPr>
              <w:t xml:space="preserve"> بموجات ميكروويف </w:t>
            </w:r>
            <w:proofErr w:type="spellStart"/>
            <w:r w:rsidRPr="007C33D9">
              <w:rPr>
                <w:rFonts w:eastAsia="Times New Roman"/>
                <w:b/>
                <w:bCs/>
                <w:color w:val="000000"/>
                <w:rtl/>
              </w:rPr>
              <w:t>بايستاتيكية</w:t>
            </w:r>
            <w:proofErr w:type="spellEnd"/>
          </w:p>
        </w:tc>
      </w:tr>
      <w:tr w:rsidR="007B5806" w:rsidRPr="007C33D9" w14:paraId="51F1106D" w14:textId="77777777" w:rsidTr="007B5806">
        <w:trPr>
          <w:trHeight w:val="300"/>
        </w:trPr>
        <w:tc>
          <w:tcPr>
            <w:tcW w:w="2160" w:type="dxa"/>
            <w:shd w:val="clear" w:color="auto" w:fill="auto"/>
            <w:noWrap/>
            <w:hideMark/>
          </w:tcPr>
          <w:p w14:paraId="6013B57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blast seat</w:t>
            </w:r>
          </w:p>
        </w:tc>
        <w:tc>
          <w:tcPr>
            <w:tcW w:w="1440" w:type="dxa"/>
            <w:shd w:val="clear" w:color="auto" w:fill="auto"/>
            <w:noWrap/>
            <w:hideMark/>
          </w:tcPr>
          <w:p w14:paraId="6F24C9A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158F37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The source of an </w:t>
            </w:r>
            <w:proofErr w:type="gramStart"/>
            <w:r w:rsidRPr="007C33D9">
              <w:rPr>
                <w:rFonts w:eastAsia="Times New Roman"/>
                <w:color w:val="000000"/>
              </w:rPr>
              <w:t>explosives</w:t>
            </w:r>
            <w:proofErr w:type="gramEnd"/>
            <w:r w:rsidRPr="007C33D9">
              <w:rPr>
                <w:rFonts w:eastAsia="Times New Roman"/>
                <w:color w:val="000000"/>
              </w:rPr>
              <w:t xml:space="preserve"> detonation</w:t>
            </w:r>
          </w:p>
        </w:tc>
        <w:tc>
          <w:tcPr>
            <w:tcW w:w="3600" w:type="dxa"/>
            <w:shd w:val="clear" w:color="auto" w:fill="auto"/>
            <w:noWrap/>
            <w:hideMark/>
          </w:tcPr>
          <w:p w14:paraId="7C8025EA"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مصدر تفجير الشحنات الناسفة</w:t>
            </w:r>
          </w:p>
        </w:tc>
        <w:tc>
          <w:tcPr>
            <w:tcW w:w="1440" w:type="dxa"/>
            <w:shd w:val="clear" w:color="auto" w:fill="auto"/>
            <w:noWrap/>
            <w:hideMark/>
          </w:tcPr>
          <w:p w14:paraId="5B3B898D"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618D6B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مصدر الانفجار</w:t>
            </w:r>
          </w:p>
        </w:tc>
      </w:tr>
      <w:tr w:rsidR="007B5806" w:rsidRPr="007C33D9" w14:paraId="28D03C70" w14:textId="77777777" w:rsidTr="007B5806">
        <w:trPr>
          <w:trHeight w:val="300"/>
        </w:trPr>
        <w:tc>
          <w:tcPr>
            <w:tcW w:w="2160" w:type="dxa"/>
            <w:shd w:val="clear" w:color="auto" w:fill="auto"/>
            <w:noWrap/>
            <w:hideMark/>
          </w:tcPr>
          <w:p w14:paraId="2810146B"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blast wave</w:t>
            </w:r>
          </w:p>
        </w:tc>
        <w:tc>
          <w:tcPr>
            <w:tcW w:w="1440" w:type="dxa"/>
            <w:shd w:val="clear" w:color="auto" w:fill="auto"/>
            <w:noWrap/>
            <w:hideMark/>
          </w:tcPr>
          <w:p w14:paraId="0BEC192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B8D9D32"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area of pressure expanding supersonically outward from the blast seat</w:t>
            </w:r>
          </w:p>
        </w:tc>
        <w:tc>
          <w:tcPr>
            <w:tcW w:w="3600" w:type="dxa"/>
            <w:shd w:val="clear" w:color="auto" w:fill="auto"/>
            <w:noWrap/>
            <w:hideMark/>
          </w:tcPr>
          <w:p w14:paraId="02D47191"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منطقة الضغط الذي يتمدد بسرعة فائقة للصوت خارج مصدر </w:t>
            </w:r>
            <w:proofErr w:type="spellStart"/>
            <w:r w:rsidRPr="007C33D9">
              <w:rPr>
                <w:rFonts w:eastAsia="Times New Roman"/>
                <w:color w:val="000000"/>
                <w:rtl/>
              </w:rPr>
              <w:t>الإنفجار</w:t>
            </w:r>
            <w:proofErr w:type="spellEnd"/>
          </w:p>
        </w:tc>
        <w:tc>
          <w:tcPr>
            <w:tcW w:w="1440" w:type="dxa"/>
            <w:shd w:val="clear" w:color="auto" w:fill="auto"/>
            <w:noWrap/>
            <w:hideMark/>
          </w:tcPr>
          <w:p w14:paraId="2B157875"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1BADD7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موجة الانفجار</w:t>
            </w:r>
          </w:p>
        </w:tc>
      </w:tr>
      <w:tr w:rsidR="007B5806" w:rsidRPr="007C33D9" w14:paraId="488B3CFF" w14:textId="77777777" w:rsidTr="007B5806">
        <w:trPr>
          <w:trHeight w:val="300"/>
        </w:trPr>
        <w:tc>
          <w:tcPr>
            <w:tcW w:w="2160" w:type="dxa"/>
            <w:shd w:val="clear" w:color="auto" w:fill="auto"/>
            <w:noWrap/>
            <w:hideMark/>
          </w:tcPr>
          <w:p w14:paraId="57AB4C5C"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Bureau of Counterterrorism</w:t>
            </w:r>
          </w:p>
        </w:tc>
        <w:tc>
          <w:tcPr>
            <w:tcW w:w="1440" w:type="dxa"/>
            <w:shd w:val="clear" w:color="auto" w:fill="auto"/>
            <w:noWrap/>
            <w:hideMark/>
          </w:tcPr>
          <w:p w14:paraId="619D3DB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CT</w:t>
            </w:r>
          </w:p>
        </w:tc>
        <w:tc>
          <w:tcPr>
            <w:tcW w:w="3600" w:type="dxa"/>
            <w:shd w:val="clear" w:color="auto" w:fill="auto"/>
            <w:noWrap/>
            <w:hideMark/>
          </w:tcPr>
          <w:p w14:paraId="685461B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Bureau of Counterterrorism (US State Department)</w:t>
            </w:r>
          </w:p>
        </w:tc>
        <w:tc>
          <w:tcPr>
            <w:tcW w:w="3600" w:type="dxa"/>
            <w:shd w:val="clear" w:color="auto" w:fill="auto"/>
            <w:noWrap/>
            <w:hideMark/>
          </w:tcPr>
          <w:p w14:paraId="0835FFC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مكتب مكافحة الإرهاب (وزارة الخارجية الأمريكية)</w:t>
            </w:r>
          </w:p>
        </w:tc>
        <w:tc>
          <w:tcPr>
            <w:tcW w:w="1440" w:type="dxa"/>
            <w:shd w:val="clear" w:color="auto" w:fill="auto"/>
            <w:noWrap/>
            <w:hideMark/>
          </w:tcPr>
          <w:p w14:paraId="1AA23BA7"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CT</w:t>
            </w:r>
          </w:p>
        </w:tc>
        <w:tc>
          <w:tcPr>
            <w:tcW w:w="2160" w:type="dxa"/>
            <w:shd w:val="clear" w:color="auto" w:fill="auto"/>
            <w:noWrap/>
            <w:hideMark/>
          </w:tcPr>
          <w:p w14:paraId="5CD73EA6"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مكتب مكافحة الإرهاب</w:t>
            </w:r>
          </w:p>
        </w:tc>
      </w:tr>
      <w:tr w:rsidR="007B5806" w:rsidRPr="007C33D9" w14:paraId="75157CAB" w14:textId="77777777" w:rsidTr="007B5806">
        <w:trPr>
          <w:trHeight w:val="300"/>
        </w:trPr>
        <w:tc>
          <w:tcPr>
            <w:tcW w:w="2160" w:type="dxa"/>
            <w:shd w:val="clear" w:color="auto" w:fill="auto"/>
            <w:noWrap/>
            <w:hideMark/>
          </w:tcPr>
          <w:p w14:paraId="20AFE28C"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Bureau of Diplomatic Security</w:t>
            </w:r>
          </w:p>
        </w:tc>
        <w:tc>
          <w:tcPr>
            <w:tcW w:w="1440" w:type="dxa"/>
            <w:shd w:val="clear" w:color="auto" w:fill="auto"/>
            <w:noWrap/>
            <w:hideMark/>
          </w:tcPr>
          <w:p w14:paraId="1692DB8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DS</w:t>
            </w:r>
          </w:p>
        </w:tc>
        <w:tc>
          <w:tcPr>
            <w:tcW w:w="3600" w:type="dxa"/>
            <w:shd w:val="clear" w:color="auto" w:fill="auto"/>
            <w:noWrap/>
            <w:hideMark/>
          </w:tcPr>
          <w:p w14:paraId="1AFC3BCF"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Bureau of Diplomatic Security (US State Department)</w:t>
            </w:r>
          </w:p>
        </w:tc>
        <w:tc>
          <w:tcPr>
            <w:tcW w:w="3600" w:type="dxa"/>
            <w:shd w:val="clear" w:color="auto" w:fill="auto"/>
            <w:noWrap/>
            <w:hideMark/>
          </w:tcPr>
          <w:p w14:paraId="598F3A6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مكتب الأمن الدبلوماسي (وزارة الخارجية الأمريكية)</w:t>
            </w:r>
          </w:p>
        </w:tc>
        <w:tc>
          <w:tcPr>
            <w:tcW w:w="1440" w:type="dxa"/>
            <w:shd w:val="clear" w:color="auto" w:fill="auto"/>
            <w:noWrap/>
            <w:hideMark/>
          </w:tcPr>
          <w:p w14:paraId="66C0893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DS</w:t>
            </w:r>
          </w:p>
        </w:tc>
        <w:tc>
          <w:tcPr>
            <w:tcW w:w="2160" w:type="dxa"/>
            <w:shd w:val="clear" w:color="auto" w:fill="auto"/>
            <w:noWrap/>
            <w:hideMark/>
          </w:tcPr>
          <w:p w14:paraId="035BD56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مكتب الأمن الديبلوماسي</w:t>
            </w:r>
          </w:p>
        </w:tc>
      </w:tr>
      <w:tr w:rsidR="007B5806" w:rsidRPr="007C33D9" w14:paraId="2D5C3F82" w14:textId="77777777" w:rsidTr="007B5806">
        <w:trPr>
          <w:trHeight w:val="300"/>
        </w:trPr>
        <w:tc>
          <w:tcPr>
            <w:tcW w:w="2160" w:type="dxa"/>
            <w:shd w:val="clear" w:color="auto" w:fill="auto"/>
            <w:noWrap/>
            <w:hideMark/>
          </w:tcPr>
          <w:p w14:paraId="545CA02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bypassing</w:t>
            </w:r>
          </w:p>
        </w:tc>
        <w:tc>
          <w:tcPr>
            <w:tcW w:w="1440" w:type="dxa"/>
            <w:shd w:val="clear" w:color="auto" w:fill="auto"/>
            <w:noWrap/>
            <w:hideMark/>
          </w:tcPr>
          <w:p w14:paraId="007A12D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631FE9F"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act of going around a sensor’s detection zone</w:t>
            </w:r>
          </w:p>
        </w:tc>
        <w:tc>
          <w:tcPr>
            <w:tcW w:w="3600" w:type="dxa"/>
            <w:shd w:val="clear" w:color="auto" w:fill="auto"/>
            <w:noWrap/>
            <w:hideMark/>
          </w:tcPr>
          <w:p w14:paraId="27021A44"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عملية </w:t>
            </w:r>
            <w:proofErr w:type="spellStart"/>
            <w:r w:rsidRPr="007C33D9">
              <w:rPr>
                <w:rFonts w:eastAsia="Times New Roman"/>
                <w:color w:val="000000"/>
                <w:rtl/>
              </w:rPr>
              <w:t>الإلتفاف</w:t>
            </w:r>
            <w:proofErr w:type="spellEnd"/>
            <w:r w:rsidRPr="007C33D9">
              <w:rPr>
                <w:rFonts w:eastAsia="Times New Roman"/>
                <w:color w:val="000000"/>
                <w:rtl/>
              </w:rPr>
              <w:t xml:space="preserve"> حول منطقة الرصد الخاصة بجهاز </w:t>
            </w:r>
            <w:proofErr w:type="spellStart"/>
            <w:r w:rsidRPr="007C33D9">
              <w:rPr>
                <w:rFonts w:eastAsia="Times New Roman"/>
                <w:color w:val="000000"/>
                <w:rtl/>
              </w:rPr>
              <w:t>الإستشعار</w:t>
            </w:r>
            <w:proofErr w:type="spellEnd"/>
          </w:p>
        </w:tc>
        <w:tc>
          <w:tcPr>
            <w:tcW w:w="1440" w:type="dxa"/>
            <w:shd w:val="clear" w:color="auto" w:fill="auto"/>
            <w:noWrap/>
            <w:hideMark/>
          </w:tcPr>
          <w:p w14:paraId="16B6755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0C0BE95" w14:textId="77777777" w:rsidR="007B5806" w:rsidRPr="007C33D9" w:rsidRDefault="007B5806" w:rsidP="007B5806">
            <w:pPr>
              <w:bidi/>
              <w:spacing w:after="0" w:line="240" w:lineRule="auto"/>
              <w:rPr>
                <w:rFonts w:eastAsia="Times New Roman"/>
                <w:b/>
                <w:bCs/>
                <w:color w:val="000000"/>
              </w:rPr>
            </w:pPr>
            <w:proofErr w:type="spellStart"/>
            <w:r w:rsidRPr="007C33D9">
              <w:rPr>
                <w:rFonts w:eastAsia="Times New Roman"/>
                <w:b/>
                <w:bCs/>
                <w:color w:val="000000"/>
                <w:rtl/>
              </w:rPr>
              <w:t>الإلتفاف</w:t>
            </w:r>
            <w:proofErr w:type="spellEnd"/>
          </w:p>
        </w:tc>
      </w:tr>
      <w:tr w:rsidR="007B5806" w:rsidRPr="007C33D9" w14:paraId="605ECF14" w14:textId="77777777" w:rsidTr="007B5806">
        <w:trPr>
          <w:trHeight w:val="300"/>
        </w:trPr>
        <w:tc>
          <w:tcPr>
            <w:tcW w:w="2160" w:type="dxa"/>
            <w:shd w:val="clear" w:color="auto" w:fill="auto"/>
            <w:noWrap/>
            <w:hideMark/>
          </w:tcPr>
          <w:p w14:paraId="46FD2EE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chemical, biological, radiological, and nuclear</w:t>
            </w:r>
          </w:p>
        </w:tc>
        <w:tc>
          <w:tcPr>
            <w:tcW w:w="1440" w:type="dxa"/>
            <w:shd w:val="clear" w:color="auto" w:fill="auto"/>
            <w:noWrap/>
            <w:hideMark/>
          </w:tcPr>
          <w:p w14:paraId="79FE059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CBRN</w:t>
            </w:r>
          </w:p>
        </w:tc>
        <w:tc>
          <w:tcPr>
            <w:tcW w:w="3600" w:type="dxa"/>
            <w:shd w:val="clear" w:color="auto" w:fill="auto"/>
            <w:noWrap/>
            <w:hideMark/>
          </w:tcPr>
          <w:p w14:paraId="212AA890"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Chemical, biological, radiological, and nuclear</w:t>
            </w:r>
          </w:p>
        </w:tc>
        <w:tc>
          <w:tcPr>
            <w:tcW w:w="3600" w:type="dxa"/>
            <w:shd w:val="clear" w:color="auto" w:fill="auto"/>
            <w:noWrap/>
            <w:hideMark/>
          </w:tcPr>
          <w:p w14:paraId="7C916344"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المواد الكيميائية والبيولوجية والإشعاعية والنووية</w:t>
            </w:r>
          </w:p>
        </w:tc>
        <w:tc>
          <w:tcPr>
            <w:tcW w:w="1440" w:type="dxa"/>
            <w:shd w:val="clear" w:color="auto" w:fill="auto"/>
            <w:noWrap/>
            <w:hideMark/>
          </w:tcPr>
          <w:p w14:paraId="709A286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CBRN</w:t>
            </w:r>
          </w:p>
        </w:tc>
        <w:tc>
          <w:tcPr>
            <w:tcW w:w="2160" w:type="dxa"/>
            <w:shd w:val="clear" w:color="auto" w:fill="auto"/>
            <w:noWrap/>
            <w:hideMark/>
          </w:tcPr>
          <w:p w14:paraId="650DE032"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المواد الكيميائية والبيولوجية والإشعاعية والنووية</w:t>
            </w:r>
          </w:p>
        </w:tc>
      </w:tr>
      <w:tr w:rsidR="007B5806" w:rsidRPr="007C33D9" w14:paraId="74DF608B" w14:textId="77777777" w:rsidTr="007B5806">
        <w:trPr>
          <w:trHeight w:val="300"/>
        </w:trPr>
        <w:tc>
          <w:tcPr>
            <w:tcW w:w="2160" w:type="dxa"/>
            <w:shd w:val="clear" w:color="auto" w:fill="auto"/>
            <w:noWrap/>
            <w:hideMark/>
          </w:tcPr>
          <w:p w14:paraId="303B283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closed-circuit television</w:t>
            </w:r>
          </w:p>
        </w:tc>
        <w:tc>
          <w:tcPr>
            <w:tcW w:w="1440" w:type="dxa"/>
            <w:shd w:val="clear" w:color="auto" w:fill="auto"/>
            <w:noWrap/>
            <w:hideMark/>
          </w:tcPr>
          <w:p w14:paraId="688228FB"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CCTV</w:t>
            </w:r>
          </w:p>
        </w:tc>
        <w:tc>
          <w:tcPr>
            <w:tcW w:w="3600" w:type="dxa"/>
            <w:shd w:val="clear" w:color="auto" w:fill="auto"/>
            <w:noWrap/>
            <w:hideMark/>
          </w:tcPr>
          <w:p w14:paraId="646B1A12"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Closed-circuit television</w:t>
            </w:r>
          </w:p>
        </w:tc>
        <w:tc>
          <w:tcPr>
            <w:tcW w:w="3600" w:type="dxa"/>
            <w:shd w:val="clear" w:color="auto" w:fill="auto"/>
            <w:noWrap/>
            <w:hideMark/>
          </w:tcPr>
          <w:p w14:paraId="7BD40C2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الدائرة التلفزيونية المغلقة</w:t>
            </w:r>
          </w:p>
        </w:tc>
        <w:tc>
          <w:tcPr>
            <w:tcW w:w="1440" w:type="dxa"/>
            <w:shd w:val="clear" w:color="auto" w:fill="auto"/>
            <w:noWrap/>
            <w:hideMark/>
          </w:tcPr>
          <w:p w14:paraId="10E3891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CCTV</w:t>
            </w:r>
          </w:p>
        </w:tc>
        <w:tc>
          <w:tcPr>
            <w:tcW w:w="2160" w:type="dxa"/>
            <w:shd w:val="clear" w:color="auto" w:fill="auto"/>
            <w:noWrap/>
            <w:hideMark/>
          </w:tcPr>
          <w:p w14:paraId="04100012"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الدائرة التلفزيونية المغلقة</w:t>
            </w:r>
          </w:p>
        </w:tc>
      </w:tr>
      <w:tr w:rsidR="007B5806" w:rsidRPr="007C33D9" w14:paraId="55F32525" w14:textId="77777777" w:rsidTr="007B5806">
        <w:trPr>
          <w:trHeight w:val="300"/>
        </w:trPr>
        <w:tc>
          <w:tcPr>
            <w:tcW w:w="2160" w:type="dxa"/>
            <w:shd w:val="clear" w:color="auto" w:fill="auto"/>
            <w:noWrap/>
            <w:hideMark/>
          </w:tcPr>
          <w:p w14:paraId="3887A291"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collaboration</w:t>
            </w:r>
          </w:p>
        </w:tc>
        <w:tc>
          <w:tcPr>
            <w:tcW w:w="1440" w:type="dxa"/>
            <w:shd w:val="clear" w:color="auto" w:fill="auto"/>
            <w:noWrap/>
            <w:hideMark/>
          </w:tcPr>
          <w:p w14:paraId="46746812"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AC95ABE"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process of working together to achieve shared goals</w:t>
            </w:r>
          </w:p>
        </w:tc>
        <w:tc>
          <w:tcPr>
            <w:tcW w:w="3600" w:type="dxa"/>
            <w:shd w:val="clear" w:color="auto" w:fill="auto"/>
            <w:noWrap/>
            <w:hideMark/>
          </w:tcPr>
          <w:p w14:paraId="19AB33EC"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العمل معاً لتحقيق أهداف مشتركة</w:t>
            </w:r>
          </w:p>
        </w:tc>
        <w:tc>
          <w:tcPr>
            <w:tcW w:w="1440" w:type="dxa"/>
            <w:shd w:val="clear" w:color="auto" w:fill="auto"/>
            <w:noWrap/>
            <w:hideMark/>
          </w:tcPr>
          <w:p w14:paraId="57F392D0"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6542A9A"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التضافر</w:t>
            </w:r>
          </w:p>
        </w:tc>
      </w:tr>
      <w:tr w:rsidR="007B5806" w:rsidRPr="007C33D9" w14:paraId="489DDFF7" w14:textId="77777777" w:rsidTr="007B5806">
        <w:trPr>
          <w:trHeight w:val="300"/>
        </w:trPr>
        <w:tc>
          <w:tcPr>
            <w:tcW w:w="2160" w:type="dxa"/>
            <w:shd w:val="clear" w:color="auto" w:fill="auto"/>
            <w:noWrap/>
            <w:hideMark/>
          </w:tcPr>
          <w:p w14:paraId="6BE4D60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command-activated method</w:t>
            </w:r>
          </w:p>
        </w:tc>
        <w:tc>
          <w:tcPr>
            <w:tcW w:w="1440" w:type="dxa"/>
            <w:shd w:val="clear" w:color="auto" w:fill="auto"/>
            <w:noWrap/>
            <w:hideMark/>
          </w:tcPr>
          <w:p w14:paraId="44F4BA3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B98B5CE"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Bomber initiated IED by remote control or command detonation</w:t>
            </w:r>
          </w:p>
        </w:tc>
        <w:tc>
          <w:tcPr>
            <w:tcW w:w="3600" w:type="dxa"/>
            <w:shd w:val="clear" w:color="auto" w:fill="auto"/>
            <w:noWrap/>
            <w:hideMark/>
          </w:tcPr>
          <w:p w14:paraId="2C839A45"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جهاز تفجير مرتجل يتم تفعيله بالتحكم عن بعد أو بالأمر</w:t>
            </w:r>
          </w:p>
        </w:tc>
        <w:tc>
          <w:tcPr>
            <w:tcW w:w="1440" w:type="dxa"/>
            <w:shd w:val="clear" w:color="auto" w:fill="auto"/>
            <w:noWrap/>
            <w:hideMark/>
          </w:tcPr>
          <w:p w14:paraId="4FC21B6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4A27CE2"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طريقة التشغيل بالأمر</w:t>
            </w:r>
          </w:p>
        </w:tc>
      </w:tr>
      <w:tr w:rsidR="007B5806" w:rsidRPr="007C33D9" w14:paraId="3F6017C9" w14:textId="77777777" w:rsidTr="007B5806">
        <w:trPr>
          <w:trHeight w:val="300"/>
        </w:trPr>
        <w:tc>
          <w:tcPr>
            <w:tcW w:w="2160" w:type="dxa"/>
            <w:shd w:val="clear" w:color="auto" w:fill="auto"/>
            <w:noWrap/>
            <w:hideMark/>
          </w:tcPr>
          <w:p w14:paraId="6BA5D5D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community awareness program</w:t>
            </w:r>
          </w:p>
        </w:tc>
        <w:tc>
          <w:tcPr>
            <w:tcW w:w="1440" w:type="dxa"/>
            <w:shd w:val="clear" w:color="auto" w:fill="auto"/>
            <w:noWrap/>
            <w:hideMark/>
          </w:tcPr>
          <w:p w14:paraId="540A0534"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F76833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interactive program designed to provide citizens with the basic tools needed to recognize and help prevent terrorism and criminal activity within our communities</w:t>
            </w:r>
          </w:p>
        </w:tc>
        <w:tc>
          <w:tcPr>
            <w:tcW w:w="3600" w:type="dxa"/>
            <w:shd w:val="clear" w:color="auto" w:fill="auto"/>
            <w:noWrap/>
            <w:hideMark/>
          </w:tcPr>
          <w:p w14:paraId="2094C154"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برنامج تفاعلي مصمم لإمداد المواطنين بالأدوات الأساسية المطلوبة </w:t>
            </w:r>
            <w:proofErr w:type="spellStart"/>
            <w:r w:rsidRPr="007C33D9">
              <w:rPr>
                <w:rFonts w:eastAsia="Times New Roman"/>
                <w:color w:val="000000"/>
                <w:rtl/>
              </w:rPr>
              <w:t>لادراك</w:t>
            </w:r>
            <w:proofErr w:type="spellEnd"/>
            <w:r w:rsidRPr="007C33D9">
              <w:rPr>
                <w:rFonts w:eastAsia="Times New Roman"/>
                <w:color w:val="000000"/>
                <w:rtl/>
              </w:rPr>
              <w:t xml:space="preserve"> الأنشطة الإرهابية والإجرامية ومنعها في المجتمعات المحلية</w:t>
            </w:r>
          </w:p>
        </w:tc>
        <w:tc>
          <w:tcPr>
            <w:tcW w:w="1440" w:type="dxa"/>
            <w:shd w:val="clear" w:color="auto" w:fill="auto"/>
            <w:noWrap/>
            <w:hideMark/>
          </w:tcPr>
          <w:p w14:paraId="05C98005"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E4104C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برنامج التوعية المجتمعية</w:t>
            </w:r>
          </w:p>
        </w:tc>
      </w:tr>
      <w:tr w:rsidR="007B5806" w:rsidRPr="007C33D9" w14:paraId="18CB357D" w14:textId="77777777" w:rsidTr="007B5806">
        <w:trPr>
          <w:trHeight w:val="300"/>
        </w:trPr>
        <w:tc>
          <w:tcPr>
            <w:tcW w:w="2160" w:type="dxa"/>
            <w:shd w:val="clear" w:color="auto" w:fill="auto"/>
            <w:noWrap/>
            <w:hideMark/>
          </w:tcPr>
          <w:p w14:paraId="647D524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community engagement</w:t>
            </w:r>
          </w:p>
        </w:tc>
        <w:tc>
          <w:tcPr>
            <w:tcW w:w="1440" w:type="dxa"/>
            <w:shd w:val="clear" w:color="auto" w:fill="auto"/>
            <w:noWrap/>
            <w:hideMark/>
          </w:tcPr>
          <w:p w14:paraId="36CA934F"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48220E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The process of fostering cooperation between community members and local government by establishing dialogue, building rapport, and </w:t>
            </w:r>
            <w:r w:rsidRPr="007C33D9">
              <w:rPr>
                <w:rFonts w:eastAsia="Times New Roman"/>
                <w:color w:val="000000"/>
              </w:rPr>
              <w:lastRenderedPageBreak/>
              <w:t>strengthening relationships to enhance public safety and order</w:t>
            </w:r>
          </w:p>
        </w:tc>
        <w:tc>
          <w:tcPr>
            <w:tcW w:w="3600" w:type="dxa"/>
            <w:shd w:val="clear" w:color="auto" w:fill="auto"/>
            <w:noWrap/>
            <w:hideMark/>
          </w:tcPr>
          <w:p w14:paraId="5F352AA3"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lastRenderedPageBreak/>
              <w:t xml:space="preserve">عملية تعزيز التعاون بين أعضاء المجتمع المحلي والحكومة المحلية بإقامة حوار وبناء الألفة وتوطيد العلاقات لتحسين السلامة العامة والنظام </w:t>
            </w:r>
          </w:p>
        </w:tc>
        <w:tc>
          <w:tcPr>
            <w:tcW w:w="1440" w:type="dxa"/>
            <w:shd w:val="clear" w:color="auto" w:fill="auto"/>
            <w:noWrap/>
            <w:hideMark/>
          </w:tcPr>
          <w:p w14:paraId="15B19E90"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A1CAAA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مشاركة المجتمع المحلي</w:t>
            </w:r>
          </w:p>
        </w:tc>
      </w:tr>
      <w:tr w:rsidR="007B5806" w:rsidRPr="007C33D9" w14:paraId="2EB2CCF5" w14:textId="77777777" w:rsidTr="007B5806">
        <w:trPr>
          <w:trHeight w:val="300"/>
        </w:trPr>
        <w:tc>
          <w:tcPr>
            <w:tcW w:w="2160" w:type="dxa"/>
            <w:shd w:val="clear" w:color="auto" w:fill="auto"/>
            <w:noWrap/>
            <w:hideMark/>
          </w:tcPr>
          <w:p w14:paraId="46CFC311"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community engagement and human rights discussion</w:t>
            </w:r>
          </w:p>
        </w:tc>
        <w:tc>
          <w:tcPr>
            <w:tcW w:w="1440" w:type="dxa"/>
            <w:shd w:val="clear" w:color="auto" w:fill="auto"/>
            <w:noWrap/>
            <w:hideMark/>
          </w:tcPr>
          <w:p w14:paraId="2B7B4808"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387211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community engagement and human rights discussion is an opportunity to examine the benefits of promoting human rights in the conduct of the participants’ daily job functions.</w:t>
            </w:r>
          </w:p>
        </w:tc>
        <w:tc>
          <w:tcPr>
            <w:tcW w:w="3600" w:type="dxa"/>
            <w:shd w:val="clear" w:color="auto" w:fill="auto"/>
            <w:noWrap/>
            <w:hideMark/>
          </w:tcPr>
          <w:p w14:paraId="620E36F1"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إن النقاش الخاص بالمشاركة المجتمعية وحقوق الانسان هو فرصة لفحص منافع تعزيز حقوق الانسان خلال اداء المشاركين لوظائفهم اليومية.</w:t>
            </w:r>
          </w:p>
        </w:tc>
        <w:tc>
          <w:tcPr>
            <w:tcW w:w="1440" w:type="dxa"/>
            <w:shd w:val="clear" w:color="auto" w:fill="auto"/>
            <w:noWrap/>
            <w:hideMark/>
          </w:tcPr>
          <w:p w14:paraId="565E9A7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6596636"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 xml:space="preserve">مناقشة المشاركة المجتمعية وحقوق الإنسان </w:t>
            </w:r>
          </w:p>
        </w:tc>
      </w:tr>
      <w:tr w:rsidR="007B5806" w:rsidRPr="007C33D9" w14:paraId="31F84098" w14:textId="77777777" w:rsidTr="007B5806">
        <w:trPr>
          <w:trHeight w:val="300"/>
        </w:trPr>
        <w:tc>
          <w:tcPr>
            <w:tcW w:w="2160" w:type="dxa"/>
            <w:shd w:val="clear" w:color="auto" w:fill="auto"/>
            <w:noWrap/>
            <w:hideMark/>
          </w:tcPr>
          <w:p w14:paraId="1C6D945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community partnerships</w:t>
            </w:r>
          </w:p>
        </w:tc>
        <w:tc>
          <w:tcPr>
            <w:tcW w:w="1440" w:type="dxa"/>
            <w:shd w:val="clear" w:color="auto" w:fill="auto"/>
            <w:noWrap/>
            <w:hideMark/>
          </w:tcPr>
          <w:p w14:paraId="32E0B66E"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1C3783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Law enforcement agencies and the community and organizations they serve working together for the purpose of developing solutions to problems and increasing trust in law enforcement</w:t>
            </w:r>
          </w:p>
        </w:tc>
        <w:tc>
          <w:tcPr>
            <w:tcW w:w="3600" w:type="dxa"/>
            <w:shd w:val="clear" w:color="auto" w:fill="auto"/>
            <w:noWrap/>
            <w:hideMark/>
          </w:tcPr>
          <w:p w14:paraId="72E7E983"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العمل الجماعي بين كل من وكالات إنفاذ القانون والمجتمع والمنظمات التي يقومون بخدمتها لغرض تطوير الحلول للمشاكل وزيادة الثقة بسلطات انفاذ القانون</w:t>
            </w:r>
          </w:p>
        </w:tc>
        <w:tc>
          <w:tcPr>
            <w:tcW w:w="1440" w:type="dxa"/>
            <w:shd w:val="clear" w:color="auto" w:fill="auto"/>
            <w:noWrap/>
            <w:hideMark/>
          </w:tcPr>
          <w:p w14:paraId="45F6397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207028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الشراكات مع المجتمع</w:t>
            </w:r>
          </w:p>
        </w:tc>
      </w:tr>
      <w:tr w:rsidR="007B5806" w:rsidRPr="007C33D9" w14:paraId="4F5A2368" w14:textId="77777777" w:rsidTr="007B5806">
        <w:trPr>
          <w:trHeight w:val="300"/>
        </w:trPr>
        <w:tc>
          <w:tcPr>
            <w:tcW w:w="2160" w:type="dxa"/>
            <w:shd w:val="clear" w:color="auto" w:fill="auto"/>
            <w:noWrap/>
            <w:hideMark/>
          </w:tcPr>
          <w:p w14:paraId="1BD2DB5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container</w:t>
            </w:r>
          </w:p>
        </w:tc>
        <w:tc>
          <w:tcPr>
            <w:tcW w:w="1440" w:type="dxa"/>
            <w:shd w:val="clear" w:color="auto" w:fill="auto"/>
            <w:noWrap/>
            <w:hideMark/>
          </w:tcPr>
          <w:p w14:paraId="033657F4"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6D8E4F6"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An item or vessel that commonly houses or conceals the complete IED or </w:t>
            </w:r>
            <w:proofErr w:type="gramStart"/>
            <w:r w:rsidRPr="007C33D9">
              <w:rPr>
                <w:rFonts w:eastAsia="Times New Roman"/>
                <w:color w:val="000000"/>
              </w:rPr>
              <w:t>principle</w:t>
            </w:r>
            <w:proofErr w:type="gramEnd"/>
            <w:r w:rsidRPr="007C33D9">
              <w:rPr>
                <w:rFonts w:eastAsia="Times New Roman"/>
                <w:color w:val="000000"/>
              </w:rPr>
              <w:t xml:space="preserve"> components of the IED</w:t>
            </w:r>
          </w:p>
        </w:tc>
        <w:tc>
          <w:tcPr>
            <w:tcW w:w="3600" w:type="dxa"/>
            <w:shd w:val="clear" w:color="auto" w:fill="auto"/>
            <w:noWrap/>
            <w:hideMark/>
          </w:tcPr>
          <w:p w14:paraId="59D4897C"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هي غلاف أو إناء يخفي أو يحتوي عادة على الجهاز المتفجر المرتجل بكامله أو مكوناته الأساسية.</w:t>
            </w:r>
          </w:p>
        </w:tc>
        <w:tc>
          <w:tcPr>
            <w:tcW w:w="1440" w:type="dxa"/>
            <w:shd w:val="clear" w:color="auto" w:fill="auto"/>
            <w:noWrap/>
            <w:hideMark/>
          </w:tcPr>
          <w:p w14:paraId="49AB3BE7"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925EF4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الحاوية</w:t>
            </w:r>
          </w:p>
        </w:tc>
      </w:tr>
      <w:tr w:rsidR="007B5806" w:rsidRPr="007C33D9" w14:paraId="7A64E962" w14:textId="77777777" w:rsidTr="007B5806">
        <w:trPr>
          <w:trHeight w:val="300"/>
        </w:trPr>
        <w:tc>
          <w:tcPr>
            <w:tcW w:w="2160" w:type="dxa"/>
            <w:shd w:val="clear" w:color="auto" w:fill="auto"/>
            <w:noWrap/>
            <w:hideMark/>
          </w:tcPr>
          <w:p w14:paraId="500D1CBB"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contingency planning</w:t>
            </w:r>
          </w:p>
        </w:tc>
        <w:tc>
          <w:tcPr>
            <w:tcW w:w="1440" w:type="dxa"/>
            <w:shd w:val="clear" w:color="auto" w:fill="auto"/>
            <w:noWrap/>
            <w:hideMark/>
          </w:tcPr>
          <w:p w14:paraId="22140482"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4FDA925"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method to develop well-documented procedures for identifying potential targets, responding to potential threats, interacting with external agencies, and determining the level of use-of-force security can use in various situations</w:t>
            </w:r>
          </w:p>
        </w:tc>
        <w:tc>
          <w:tcPr>
            <w:tcW w:w="3600" w:type="dxa"/>
            <w:shd w:val="clear" w:color="auto" w:fill="auto"/>
            <w:noWrap/>
            <w:hideMark/>
          </w:tcPr>
          <w:p w14:paraId="424ED9F1"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أسلوب تطوير الإجراءات جيدة التوثيق للتعرف على الأهداف المحتملة، والتجاوب بصدد التهديدات المحتملة، والتفاعل مع الوكالات الخارجية، وتحديد مستوى القوة الأمنية التي يمكن استخدامها في مختلف المواقف</w:t>
            </w:r>
          </w:p>
        </w:tc>
        <w:tc>
          <w:tcPr>
            <w:tcW w:w="1440" w:type="dxa"/>
            <w:shd w:val="clear" w:color="auto" w:fill="auto"/>
            <w:noWrap/>
            <w:hideMark/>
          </w:tcPr>
          <w:p w14:paraId="660BC2C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C3CFA8D"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 xml:space="preserve">التخطيط </w:t>
            </w:r>
            <w:proofErr w:type="spellStart"/>
            <w:r w:rsidRPr="007C33D9">
              <w:rPr>
                <w:rFonts w:eastAsia="Times New Roman"/>
                <w:b/>
                <w:bCs/>
                <w:color w:val="000000"/>
                <w:rtl/>
              </w:rPr>
              <w:t>الإحترازي</w:t>
            </w:r>
            <w:proofErr w:type="spellEnd"/>
          </w:p>
        </w:tc>
      </w:tr>
      <w:tr w:rsidR="007B5806" w:rsidRPr="007C33D9" w14:paraId="301D5615" w14:textId="77777777" w:rsidTr="007B5806">
        <w:trPr>
          <w:trHeight w:val="300"/>
        </w:trPr>
        <w:tc>
          <w:tcPr>
            <w:tcW w:w="2160" w:type="dxa"/>
            <w:shd w:val="clear" w:color="auto" w:fill="auto"/>
            <w:noWrap/>
            <w:hideMark/>
          </w:tcPr>
          <w:p w14:paraId="0C5A3FA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contraband detection</w:t>
            </w:r>
          </w:p>
        </w:tc>
        <w:tc>
          <w:tcPr>
            <w:tcW w:w="1440" w:type="dxa"/>
            <w:shd w:val="clear" w:color="auto" w:fill="auto"/>
            <w:noWrap/>
            <w:hideMark/>
          </w:tcPr>
          <w:p w14:paraId="7D49990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B81735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Examining personnel, materials, and vehicles to detect unauthorized items using metal detectors, package searches, and explosive detectors</w:t>
            </w:r>
          </w:p>
        </w:tc>
        <w:tc>
          <w:tcPr>
            <w:tcW w:w="3600" w:type="dxa"/>
            <w:shd w:val="clear" w:color="auto" w:fill="auto"/>
            <w:noWrap/>
            <w:hideMark/>
          </w:tcPr>
          <w:p w14:paraId="0031E45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فحص الأفراد والمواد والسيارات لرصد أية مواد ممنوعة باستخدام أجهزة كشف المعادن، وفحص الطرود والكشف عن المتفجرات</w:t>
            </w:r>
          </w:p>
        </w:tc>
        <w:tc>
          <w:tcPr>
            <w:tcW w:w="1440" w:type="dxa"/>
            <w:shd w:val="clear" w:color="auto" w:fill="auto"/>
            <w:noWrap/>
            <w:hideMark/>
          </w:tcPr>
          <w:p w14:paraId="15117F07"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B42E378"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اكتشاف المواد المحظورة</w:t>
            </w:r>
          </w:p>
        </w:tc>
      </w:tr>
      <w:tr w:rsidR="007B5806" w:rsidRPr="007C33D9" w14:paraId="5E686B10" w14:textId="77777777" w:rsidTr="007B5806">
        <w:trPr>
          <w:trHeight w:val="300"/>
        </w:trPr>
        <w:tc>
          <w:tcPr>
            <w:tcW w:w="2160" w:type="dxa"/>
            <w:shd w:val="clear" w:color="auto" w:fill="auto"/>
            <w:noWrap/>
            <w:hideMark/>
          </w:tcPr>
          <w:p w14:paraId="707C275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countersurveillance</w:t>
            </w:r>
          </w:p>
        </w:tc>
        <w:tc>
          <w:tcPr>
            <w:tcW w:w="1440" w:type="dxa"/>
            <w:shd w:val="clear" w:color="auto" w:fill="auto"/>
            <w:noWrap/>
            <w:hideMark/>
          </w:tcPr>
          <w:p w14:paraId="65FEFC6A"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226626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reactive and offensive security measure used to confirm whether hostile surveillance is occurring</w:t>
            </w:r>
          </w:p>
        </w:tc>
        <w:tc>
          <w:tcPr>
            <w:tcW w:w="3600" w:type="dxa"/>
            <w:shd w:val="clear" w:color="auto" w:fill="auto"/>
            <w:noWrap/>
            <w:hideMark/>
          </w:tcPr>
          <w:p w14:paraId="159AA300"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إجراء أمني كرد فعل هجومي يستخدم لتأكيد وجود عملية مراقبة معادية</w:t>
            </w:r>
          </w:p>
        </w:tc>
        <w:tc>
          <w:tcPr>
            <w:tcW w:w="1440" w:type="dxa"/>
            <w:shd w:val="clear" w:color="auto" w:fill="auto"/>
            <w:noWrap/>
            <w:hideMark/>
          </w:tcPr>
          <w:p w14:paraId="686C01B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28A4AE8"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الرصد المضاد</w:t>
            </w:r>
          </w:p>
        </w:tc>
      </w:tr>
      <w:tr w:rsidR="007B5806" w:rsidRPr="007C33D9" w14:paraId="7A5A5180" w14:textId="77777777" w:rsidTr="007B5806">
        <w:trPr>
          <w:trHeight w:val="300"/>
        </w:trPr>
        <w:tc>
          <w:tcPr>
            <w:tcW w:w="2160" w:type="dxa"/>
            <w:shd w:val="clear" w:color="auto" w:fill="auto"/>
            <w:noWrap/>
            <w:hideMark/>
          </w:tcPr>
          <w:p w14:paraId="66E03B46"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critical asset</w:t>
            </w:r>
          </w:p>
        </w:tc>
        <w:tc>
          <w:tcPr>
            <w:tcW w:w="1440" w:type="dxa"/>
            <w:shd w:val="clear" w:color="auto" w:fill="auto"/>
            <w:noWrap/>
            <w:hideMark/>
          </w:tcPr>
          <w:p w14:paraId="434ECCF0"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118EB3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Any people, information, processes, and equipment that must be protected to prevent an undesired consequence from occurring</w:t>
            </w:r>
          </w:p>
        </w:tc>
        <w:tc>
          <w:tcPr>
            <w:tcW w:w="3600" w:type="dxa"/>
            <w:shd w:val="clear" w:color="auto" w:fill="auto"/>
            <w:noWrap/>
            <w:hideMark/>
          </w:tcPr>
          <w:p w14:paraId="7404FA51"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أية </w:t>
            </w:r>
            <w:proofErr w:type="gramStart"/>
            <w:r w:rsidRPr="007C33D9">
              <w:rPr>
                <w:rFonts w:eastAsia="Times New Roman"/>
                <w:color w:val="000000"/>
                <w:rtl/>
              </w:rPr>
              <w:t>أفراد</w:t>
            </w:r>
            <w:proofErr w:type="gramEnd"/>
            <w:r w:rsidRPr="007C33D9">
              <w:rPr>
                <w:rFonts w:eastAsia="Times New Roman"/>
                <w:color w:val="000000"/>
                <w:rtl/>
              </w:rPr>
              <w:t xml:space="preserve"> أو معلومات أو إجراءات أو معدات ينبغي حمايتها لمنع الآثار غير المرغوبة الناجمة من وقوع حوادث</w:t>
            </w:r>
          </w:p>
        </w:tc>
        <w:tc>
          <w:tcPr>
            <w:tcW w:w="1440" w:type="dxa"/>
            <w:shd w:val="clear" w:color="auto" w:fill="auto"/>
            <w:noWrap/>
            <w:hideMark/>
          </w:tcPr>
          <w:p w14:paraId="7E03E4FE"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674CFF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الأصل الحرج</w:t>
            </w:r>
          </w:p>
        </w:tc>
      </w:tr>
      <w:tr w:rsidR="007B5806" w:rsidRPr="007C33D9" w14:paraId="447CF7E6" w14:textId="77777777" w:rsidTr="007B5806">
        <w:trPr>
          <w:trHeight w:val="300"/>
        </w:trPr>
        <w:tc>
          <w:tcPr>
            <w:tcW w:w="2160" w:type="dxa"/>
            <w:shd w:val="clear" w:color="auto" w:fill="auto"/>
            <w:noWrap/>
            <w:hideMark/>
          </w:tcPr>
          <w:p w14:paraId="75F58C9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critical incident</w:t>
            </w:r>
          </w:p>
        </w:tc>
        <w:tc>
          <w:tcPr>
            <w:tcW w:w="1440" w:type="dxa"/>
            <w:shd w:val="clear" w:color="auto" w:fill="auto"/>
            <w:noWrap/>
            <w:hideMark/>
          </w:tcPr>
          <w:p w14:paraId="681E7442"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35F033B"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Any natural or man-made event, civil disturbance, or any other occurrence of an unusual or severe nature that threatens to cause or causes the loss of life or injury to citizens or severe damage to property and requires extraordinary measures to protect lives, meet human needs, and achieve recovery</w:t>
            </w:r>
          </w:p>
        </w:tc>
        <w:tc>
          <w:tcPr>
            <w:tcW w:w="3600" w:type="dxa"/>
            <w:shd w:val="clear" w:color="auto" w:fill="auto"/>
            <w:noWrap/>
            <w:hideMark/>
          </w:tcPr>
          <w:p w14:paraId="1F0BE6EC"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أي حادث طبيعي أو من صنع الإنسان، وأي اضطرابات مدنية أو أي واقعة أخرى ذات طابع غير عادي يهدد أو يتسبب في التهديد بخسائر في الأرواح أو الممتلكات ويتطلب اتخاذ تدابير استثنائية من أجل حماية الأرواح وتلبية الاحتياجات البشرية وتحقيق التعافي</w:t>
            </w:r>
          </w:p>
        </w:tc>
        <w:tc>
          <w:tcPr>
            <w:tcW w:w="1440" w:type="dxa"/>
            <w:shd w:val="clear" w:color="auto" w:fill="auto"/>
            <w:noWrap/>
            <w:hideMark/>
          </w:tcPr>
          <w:p w14:paraId="26A6A236"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الحادث الخطير</w:t>
            </w:r>
          </w:p>
        </w:tc>
        <w:tc>
          <w:tcPr>
            <w:tcW w:w="2160" w:type="dxa"/>
            <w:shd w:val="clear" w:color="auto" w:fill="auto"/>
            <w:noWrap/>
            <w:hideMark/>
          </w:tcPr>
          <w:p w14:paraId="61A9A71D"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الحادث الحرج</w:t>
            </w:r>
          </w:p>
        </w:tc>
      </w:tr>
      <w:tr w:rsidR="007B5806" w:rsidRPr="007C33D9" w14:paraId="5C2C1522" w14:textId="77777777" w:rsidTr="007B5806">
        <w:trPr>
          <w:trHeight w:val="300"/>
        </w:trPr>
        <w:tc>
          <w:tcPr>
            <w:tcW w:w="2160" w:type="dxa"/>
            <w:shd w:val="clear" w:color="auto" w:fill="auto"/>
            <w:noWrap/>
            <w:hideMark/>
          </w:tcPr>
          <w:p w14:paraId="093F0FC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critical incident management plan</w:t>
            </w:r>
          </w:p>
        </w:tc>
        <w:tc>
          <w:tcPr>
            <w:tcW w:w="1440" w:type="dxa"/>
            <w:shd w:val="clear" w:color="auto" w:fill="auto"/>
            <w:noWrap/>
            <w:hideMark/>
          </w:tcPr>
          <w:p w14:paraId="534CAA8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F37764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standardized plan that outlines processes and procedures for coordination and control of responses to a terrorist event or natural disaster</w:t>
            </w:r>
          </w:p>
        </w:tc>
        <w:tc>
          <w:tcPr>
            <w:tcW w:w="3600" w:type="dxa"/>
            <w:shd w:val="clear" w:color="auto" w:fill="auto"/>
            <w:noWrap/>
            <w:hideMark/>
          </w:tcPr>
          <w:p w14:paraId="4DC07AB2"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هي خطة قياسية تشمل النقاط الرئيسية العملياتية والإجرائية للتنسيق والسيطرة على </w:t>
            </w:r>
            <w:proofErr w:type="spellStart"/>
            <w:r w:rsidRPr="007C33D9">
              <w:rPr>
                <w:rFonts w:eastAsia="Times New Roman"/>
                <w:color w:val="000000"/>
                <w:rtl/>
              </w:rPr>
              <w:t>الإستجابات</w:t>
            </w:r>
            <w:proofErr w:type="spellEnd"/>
            <w:r w:rsidRPr="007C33D9">
              <w:rPr>
                <w:rFonts w:eastAsia="Times New Roman"/>
                <w:color w:val="000000"/>
                <w:rtl/>
              </w:rPr>
              <w:t xml:space="preserve"> لحدث إرهابي أو كارثة طبيعية</w:t>
            </w:r>
          </w:p>
        </w:tc>
        <w:tc>
          <w:tcPr>
            <w:tcW w:w="1440" w:type="dxa"/>
            <w:shd w:val="clear" w:color="auto" w:fill="auto"/>
            <w:noWrap/>
            <w:hideMark/>
          </w:tcPr>
          <w:p w14:paraId="6C2FEBC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5745D4D"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خطة نموذجية لإدارة الحوادث الحرجة</w:t>
            </w:r>
          </w:p>
        </w:tc>
      </w:tr>
      <w:tr w:rsidR="007B5806" w:rsidRPr="007C33D9" w14:paraId="1C105683" w14:textId="77777777" w:rsidTr="007B5806">
        <w:trPr>
          <w:trHeight w:val="300"/>
        </w:trPr>
        <w:tc>
          <w:tcPr>
            <w:tcW w:w="2160" w:type="dxa"/>
            <w:shd w:val="clear" w:color="auto" w:fill="auto"/>
            <w:noWrap/>
            <w:hideMark/>
          </w:tcPr>
          <w:p w14:paraId="2233A21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critical infrastructure</w:t>
            </w:r>
          </w:p>
        </w:tc>
        <w:tc>
          <w:tcPr>
            <w:tcW w:w="1440" w:type="dxa"/>
            <w:shd w:val="clear" w:color="auto" w:fill="auto"/>
            <w:noWrap/>
            <w:hideMark/>
          </w:tcPr>
          <w:p w14:paraId="31DE96B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3499B9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Systems and assets, whether physical or virtual, so vital to the nation that the incapacity or destruction of such systems and assets would have a debilitating impact on security, national economic security, national public health or safety, or any combination of those matters</w:t>
            </w:r>
          </w:p>
        </w:tc>
        <w:tc>
          <w:tcPr>
            <w:tcW w:w="3600" w:type="dxa"/>
            <w:shd w:val="clear" w:color="auto" w:fill="auto"/>
            <w:noWrap/>
            <w:hideMark/>
          </w:tcPr>
          <w:p w14:paraId="79E2BBE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الأنظمة والأصول، المادية أو المعنوية، ذات الأهمية الحيوية للبلاد بحيث أن تعطيلها أو تدميرها من شأنه أن يلحق ضررا فائقا بالأمن </w:t>
            </w:r>
            <w:proofErr w:type="gramStart"/>
            <w:r w:rsidRPr="007C33D9">
              <w:rPr>
                <w:rFonts w:eastAsia="Times New Roman"/>
                <w:color w:val="000000"/>
                <w:rtl/>
              </w:rPr>
              <w:t>الإقليمي</w:t>
            </w:r>
            <w:proofErr w:type="gramEnd"/>
            <w:r w:rsidRPr="007C33D9">
              <w:rPr>
                <w:rFonts w:eastAsia="Times New Roman"/>
                <w:color w:val="000000"/>
                <w:rtl/>
              </w:rPr>
              <w:t xml:space="preserve"> أو الوطني أو الأمن الاقتصادي القومي أو الصحة أو السلامة العامة، أو أي مزيج مما سبق</w:t>
            </w:r>
          </w:p>
        </w:tc>
        <w:tc>
          <w:tcPr>
            <w:tcW w:w="1440" w:type="dxa"/>
            <w:shd w:val="clear" w:color="auto" w:fill="auto"/>
            <w:noWrap/>
            <w:hideMark/>
          </w:tcPr>
          <w:p w14:paraId="0A4F9B23"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AFF37E7"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البنية الأساسية الحرجة</w:t>
            </w:r>
          </w:p>
        </w:tc>
      </w:tr>
      <w:tr w:rsidR="007B5806" w:rsidRPr="007C33D9" w14:paraId="239DCD50" w14:textId="77777777" w:rsidTr="007B5806">
        <w:trPr>
          <w:trHeight w:val="300"/>
        </w:trPr>
        <w:tc>
          <w:tcPr>
            <w:tcW w:w="2160" w:type="dxa"/>
            <w:shd w:val="clear" w:color="auto" w:fill="auto"/>
            <w:noWrap/>
            <w:hideMark/>
          </w:tcPr>
          <w:p w14:paraId="39D39EE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critical infrastructure assessment</w:t>
            </w:r>
          </w:p>
        </w:tc>
        <w:tc>
          <w:tcPr>
            <w:tcW w:w="1440" w:type="dxa"/>
            <w:shd w:val="clear" w:color="auto" w:fill="auto"/>
            <w:noWrap/>
            <w:hideMark/>
          </w:tcPr>
          <w:p w14:paraId="0683F06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EAAECF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comprehensive evaluation of the critical infrastructure components of a given critical infrastructure</w:t>
            </w:r>
          </w:p>
        </w:tc>
        <w:tc>
          <w:tcPr>
            <w:tcW w:w="3600" w:type="dxa"/>
            <w:shd w:val="clear" w:color="auto" w:fill="auto"/>
            <w:noWrap/>
            <w:hideMark/>
          </w:tcPr>
          <w:p w14:paraId="4E50E2F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عملية تقييم شاملة لمكونات البنية التحتية الحيوية للبنية الأساسية الخاصة بمنطقة معينة</w:t>
            </w:r>
          </w:p>
        </w:tc>
        <w:tc>
          <w:tcPr>
            <w:tcW w:w="1440" w:type="dxa"/>
            <w:shd w:val="clear" w:color="auto" w:fill="auto"/>
            <w:noWrap/>
            <w:hideMark/>
          </w:tcPr>
          <w:p w14:paraId="102022E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BE6E2F6"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تقييم البنية الأساسية الحرجة</w:t>
            </w:r>
          </w:p>
        </w:tc>
      </w:tr>
      <w:tr w:rsidR="007B5806" w:rsidRPr="007C33D9" w14:paraId="5863691F" w14:textId="77777777" w:rsidTr="007B5806">
        <w:trPr>
          <w:trHeight w:val="300"/>
        </w:trPr>
        <w:tc>
          <w:tcPr>
            <w:tcW w:w="2160" w:type="dxa"/>
            <w:shd w:val="clear" w:color="auto" w:fill="auto"/>
            <w:noWrap/>
            <w:hideMark/>
          </w:tcPr>
          <w:p w14:paraId="77DA36A6"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critical infrastructure assets</w:t>
            </w:r>
          </w:p>
        </w:tc>
        <w:tc>
          <w:tcPr>
            <w:tcW w:w="1440" w:type="dxa"/>
            <w:shd w:val="clear" w:color="auto" w:fill="auto"/>
            <w:noWrap/>
            <w:hideMark/>
          </w:tcPr>
          <w:p w14:paraId="096F6E2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2E26F2B"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resources (people, information, processes, and equipment) that support the operation of a critical infrastructure</w:t>
            </w:r>
          </w:p>
        </w:tc>
        <w:tc>
          <w:tcPr>
            <w:tcW w:w="3600" w:type="dxa"/>
            <w:shd w:val="clear" w:color="auto" w:fill="auto"/>
            <w:noWrap/>
            <w:hideMark/>
          </w:tcPr>
          <w:p w14:paraId="13CF8EA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الموارد (الأفراد، المعلومات، العمليات، والمعدات) التي تدعم الأداء الوظيفي العملياتي الخاص بالبنية الأساسية الحرجة </w:t>
            </w:r>
          </w:p>
        </w:tc>
        <w:tc>
          <w:tcPr>
            <w:tcW w:w="1440" w:type="dxa"/>
            <w:shd w:val="clear" w:color="auto" w:fill="auto"/>
            <w:noWrap/>
            <w:hideMark/>
          </w:tcPr>
          <w:p w14:paraId="1CA061D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FD5CE97"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أصول البنية الأساسية الحرجة</w:t>
            </w:r>
          </w:p>
        </w:tc>
      </w:tr>
      <w:tr w:rsidR="007B5806" w:rsidRPr="007C33D9" w14:paraId="3793C64F" w14:textId="77777777" w:rsidTr="007B5806">
        <w:trPr>
          <w:trHeight w:val="300"/>
        </w:trPr>
        <w:tc>
          <w:tcPr>
            <w:tcW w:w="2160" w:type="dxa"/>
            <w:shd w:val="clear" w:color="auto" w:fill="auto"/>
            <w:noWrap/>
            <w:hideMark/>
          </w:tcPr>
          <w:p w14:paraId="78C4A42C"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critical infrastructure categories</w:t>
            </w:r>
          </w:p>
        </w:tc>
        <w:tc>
          <w:tcPr>
            <w:tcW w:w="1440" w:type="dxa"/>
            <w:shd w:val="clear" w:color="auto" w:fill="auto"/>
            <w:noWrap/>
            <w:hideMark/>
          </w:tcPr>
          <w:p w14:paraId="2ADB2AF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50D014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sixteen sectors whose assets, systems, and networks, whether physical or virtual, are considered so vital to the nation that their incapacitation or destruction would have a debilitating effect on security, national economic security, national public health, or safety, or any combination thereof</w:t>
            </w:r>
          </w:p>
        </w:tc>
        <w:tc>
          <w:tcPr>
            <w:tcW w:w="3600" w:type="dxa"/>
            <w:shd w:val="clear" w:color="auto" w:fill="auto"/>
            <w:noWrap/>
            <w:hideMark/>
          </w:tcPr>
          <w:p w14:paraId="4EF5F02E"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16 قطاع حيوي للأنظمة والأصول والشبكات، المادية أو المعنوية، ذات الأهمية الحيوية للبلاد بحيث أن تعطيلها أو تدميرها من شأنه أن يلحق ضررا فائقا بالأمن </w:t>
            </w:r>
            <w:proofErr w:type="gramStart"/>
            <w:r w:rsidRPr="007C33D9">
              <w:rPr>
                <w:rFonts w:eastAsia="Times New Roman"/>
                <w:color w:val="000000"/>
                <w:rtl/>
              </w:rPr>
              <w:t>الإقليمي</w:t>
            </w:r>
            <w:proofErr w:type="gramEnd"/>
            <w:r w:rsidRPr="007C33D9">
              <w:rPr>
                <w:rFonts w:eastAsia="Times New Roman"/>
                <w:color w:val="000000"/>
                <w:rtl/>
              </w:rPr>
              <w:t xml:space="preserve"> أو الوطني أو الأمن الاقتصادي أو الصحة أو السلامة العامة، أو أي مزيج مما سبق</w:t>
            </w:r>
          </w:p>
        </w:tc>
        <w:tc>
          <w:tcPr>
            <w:tcW w:w="1440" w:type="dxa"/>
            <w:shd w:val="clear" w:color="auto" w:fill="auto"/>
            <w:noWrap/>
            <w:hideMark/>
          </w:tcPr>
          <w:p w14:paraId="4C0BFF2F"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3498C3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فئات البنية الأساسية الحرجة</w:t>
            </w:r>
          </w:p>
        </w:tc>
      </w:tr>
      <w:tr w:rsidR="007B5806" w:rsidRPr="007C33D9" w14:paraId="5FA21557" w14:textId="77777777" w:rsidTr="007B5806">
        <w:trPr>
          <w:trHeight w:val="300"/>
        </w:trPr>
        <w:tc>
          <w:tcPr>
            <w:tcW w:w="2160" w:type="dxa"/>
            <w:shd w:val="clear" w:color="auto" w:fill="auto"/>
            <w:noWrap/>
            <w:hideMark/>
          </w:tcPr>
          <w:p w14:paraId="3B2B995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critical infrastructure components</w:t>
            </w:r>
          </w:p>
        </w:tc>
        <w:tc>
          <w:tcPr>
            <w:tcW w:w="1440" w:type="dxa"/>
            <w:shd w:val="clear" w:color="auto" w:fill="auto"/>
            <w:noWrap/>
            <w:hideMark/>
          </w:tcPr>
          <w:p w14:paraId="12A7A5B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48DD71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physical conditions, facility operations, policies and procedures, regulatory requirements, and the safety and legal considerations of the identified asset</w:t>
            </w:r>
          </w:p>
        </w:tc>
        <w:tc>
          <w:tcPr>
            <w:tcW w:w="3600" w:type="dxa"/>
            <w:shd w:val="clear" w:color="auto" w:fill="auto"/>
            <w:noWrap/>
            <w:hideMark/>
          </w:tcPr>
          <w:p w14:paraId="108082BE"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الظروف المادية، وعمليات المنشأة، والسياسات والاجراءات التنظيمية </w:t>
            </w:r>
            <w:proofErr w:type="spellStart"/>
            <w:r w:rsidRPr="007C33D9">
              <w:rPr>
                <w:rFonts w:eastAsia="Times New Roman"/>
                <w:color w:val="000000"/>
                <w:rtl/>
              </w:rPr>
              <w:t>والإعتبارات</w:t>
            </w:r>
            <w:proofErr w:type="spellEnd"/>
            <w:r w:rsidRPr="007C33D9">
              <w:rPr>
                <w:rFonts w:eastAsia="Times New Roman"/>
                <w:color w:val="000000"/>
                <w:rtl/>
              </w:rPr>
              <w:t xml:space="preserve"> الأمنية والقانونية للمرفق موضع التعريف</w:t>
            </w:r>
          </w:p>
        </w:tc>
        <w:tc>
          <w:tcPr>
            <w:tcW w:w="1440" w:type="dxa"/>
            <w:shd w:val="clear" w:color="auto" w:fill="auto"/>
            <w:noWrap/>
            <w:hideMark/>
          </w:tcPr>
          <w:p w14:paraId="2D246527"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849507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مكونات البنية الأساسية الحرجة</w:t>
            </w:r>
          </w:p>
        </w:tc>
      </w:tr>
      <w:tr w:rsidR="007B5806" w:rsidRPr="007C33D9" w14:paraId="06126A83" w14:textId="77777777" w:rsidTr="007B5806">
        <w:trPr>
          <w:trHeight w:val="300"/>
        </w:trPr>
        <w:tc>
          <w:tcPr>
            <w:tcW w:w="2160" w:type="dxa"/>
            <w:shd w:val="clear" w:color="auto" w:fill="auto"/>
            <w:noWrap/>
            <w:hideMark/>
          </w:tcPr>
          <w:p w14:paraId="6819987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critical infrastructure security and resilience</w:t>
            </w:r>
          </w:p>
        </w:tc>
        <w:tc>
          <w:tcPr>
            <w:tcW w:w="1440" w:type="dxa"/>
            <w:shd w:val="clear" w:color="auto" w:fill="auto"/>
            <w:noWrap/>
            <w:hideMark/>
          </w:tcPr>
          <w:p w14:paraId="38FA588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CISR</w:t>
            </w:r>
          </w:p>
        </w:tc>
        <w:tc>
          <w:tcPr>
            <w:tcW w:w="3600" w:type="dxa"/>
            <w:shd w:val="clear" w:color="auto" w:fill="auto"/>
            <w:noWrap/>
            <w:hideMark/>
          </w:tcPr>
          <w:p w14:paraId="77242530"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Critical Infrastructure Security and Resilience</w:t>
            </w:r>
          </w:p>
        </w:tc>
        <w:tc>
          <w:tcPr>
            <w:tcW w:w="3600" w:type="dxa"/>
            <w:shd w:val="clear" w:color="auto" w:fill="auto"/>
            <w:noWrap/>
            <w:hideMark/>
          </w:tcPr>
          <w:p w14:paraId="40B387F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أمن ومرونة البنية الأساسية الحرجة</w:t>
            </w:r>
          </w:p>
        </w:tc>
        <w:tc>
          <w:tcPr>
            <w:tcW w:w="1440" w:type="dxa"/>
            <w:shd w:val="clear" w:color="auto" w:fill="auto"/>
            <w:noWrap/>
            <w:hideMark/>
          </w:tcPr>
          <w:p w14:paraId="4273ED5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CISR</w:t>
            </w:r>
          </w:p>
        </w:tc>
        <w:tc>
          <w:tcPr>
            <w:tcW w:w="2160" w:type="dxa"/>
            <w:shd w:val="clear" w:color="auto" w:fill="auto"/>
            <w:noWrap/>
            <w:hideMark/>
          </w:tcPr>
          <w:p w14:paraId="7465F26E"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أمن ومرونة البنية الأساسية الحرجة</w:t>
            </w:r>
          </w:p>
        </w:tc>
      </w:tr>
      <w:tr w:rsidR="007B5806" w:rsidRPr="007C33D9" w14:paraId="529B728B" w14:textId="77777777" w:rsidTr="007B5806">
        <w:trPr>
          <w:trHeight w:val="300"/>
        </w:trPr>
        <w:tc>
          <w:tcPr>
            <w:tcW w:w="2160" w:type="dxa"/>
            <w:shd w:val="clear" w:color="auto" w:fill="auto"/>
            <w:noWrap/>
            <w:hideMark/>
          </w:tcPr>
          <w:p w14:paraId="0B8CE38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cross-border infrastructure</w:t>
            </w:r>
          </w:p>
        </w:tc>
        <w:tc>
          <w:tcPr>
            <w:tcW w:w="1440" w:type="dxa"/>
            <w:shd w:val="clear" w:color="auto" w:fill="auto"/>
            <w:noWrap/>
            <w:hideMark/>
          </w:tcPr>
          <w:p w14:paraId="3700A361"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E88A01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Any critical services such as banking or telecommunications that </w:t>
            </w:r>
            <w:proofErr w:type="gramStart"/>
            <w:r w:rsidRPr="007C33D9">
              <w:rPr>
                <w:rFonts w:eastAsia="Times New Roman"/>
                <w:color w:val="000000"/>
              </w:rPr>
              <w:t>are located in</w:t>
            </w:r>
            <w:proofErr w:type="gramEnd"/>
            <w:r w:rsidRPr="007C33D9">
              <w:rPr>
                <w:rFonts w:eastAsia="Times New Roman"/>
                <w:color w:val="000000"/>
              </w:rPr>
              <w:t xml:space="preserve"> another country or have a crucial dependency on information systems outside of a given country’s jurisdiction</w:t>
            </w:r>
          </w:p>
        </w:tc>
        <w:tc>
          <w:tcPr>
            <w:tcW w:w="3600" w:type="dxa"/>
            <w:shd w:val="clear" w:color="auto" w:fill="auto"/>
            <w:noWrap/>
            <w:hideMark/>
          </w:tcPr>
          <w:p w14:paraId="4A71B89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أية خدمات ذات أهمية حرجة مثل العمليات المصرفية أو </w:t>
            </w:r>
            <w:proofErr w:type="spellStart"/>
            <w:r w:rsidRPr="007C33D9">
              <w:rPr>
                <w:rFonts w:eastAsia="Times New Roman"/>
                <w:color w:val="000000"/>
                <w:rtl/>
              </w:rPr>
              <w:t>الإتصالات</w:t>
            </w:r>
            <w:proofErr w:type="spellEnd"/>
            <w:r w:rsidRPr="007C33D9">
              <w:rPr>
                <w:rFonts w:eastAsia="Times New Roman"/>
                <w:color w:val="000000"/>
                <w:rtl/>
              </w:rPr>
              <w:t xml:space="preserve"> الواقعة في دولة أخرى أو التي تعتمد بدرجة حيوية على أنظمة المعلومات خارج نطاق السيطرة والولاية القضائية للبلد</w:t>
            </w:r>
          </w:p>
        </w:tc>
        <w:tc>
          <w:tcPr>
            <w:tcW w:w="1440" w:type="dxa"/>
            <w:shd w:val="clear" w:color="auto" w:fill="auto"/>
            <w:noWrap/>
            <w:hideMark/>
          </w:tcPr>
          <w:p w14:paraId="07C361D5"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D8CEE36"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البنية الأساسية عبر الحدود</w:t>
            </w:r>
          </w:p>
        </w:tc>
      </w:tr>
      <w:tr w:rsidR="007B5806" w:rsidRPr="007C33D9" w14:paraId="6D417DC6" w14:textId="77777777" w:rsidTr="007B5806">
        <w:trPr>
          <w:trHeight w:val="300"/>
        </w:trPr>
        <w:tc>
          <w:tcPr>
            <w:tcW w:w="2160" w:type="dxa"/>
            <w:shd w:val="clear" w:color="auto" w:fill="auto"/>
            <w:noWrap/>
            <w:hideMark/>
          </w:tcPr>
          <w:p w14:paraId="3086321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cyberattack</w:t>
            </w:r>
          </w:p>
        </w:tc>
        <w:tc>
          <w:tcPr>
            <w:tcW w:w="1440" w:type="dxa"/>
            <w:shd w:val="clear" w:color="auto" w:fill="auto"/>
            <w:noWrap/>
            <w:hideMark/>
          </w:tcPr>
          <w:p w14:paraId="273D406E"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3DD70C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intrusion into electronic and digital information systems, by way of cyberspace, targeting an enterprise’s use of cyberspace for the purpose of disrupting, disabling, destroying, or maliciously controlling a computing environment or infrastructure; or destroying the integrity of the data or stealing controlled information</w:t>
            </w:r>
          </w:p>
        </w:tc>
        <w:tc>
          <w:tcPr>
            <w:tcW w:w="3600" w:type="dxa"/>
            <w:shd w:val="clear" w:color="auto" w:fill="auto"/>
            <w:noWrap/>
            <w:hideMark/>
          </w:tcPr>
          <w:p w14:paraId="113CAB0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تسلل الكتروني واختراق لأنظمة المعلومات الإلكترونية والرقمية عن طريق الإنترنت بغرض استهداف وسائل </w:t>
            </w:r>
            <w:proofErr w:type="spellStart"/>
            <w:r w:rsidRPr="007C33D9">
              <w:rPr>
                <w:rFonts w:eastAsia="Times New Roman"/>
                <w:color w:val="000000"/>
                <w:rtl/>
              </w:rPr>
              <w:t>الإستخدام</w:t>
            </w:r>
            <w:proofErr w:type="spellEnd"/>
            <w:r w:rsidRPr="007C33D9">
              <w:rPr>
                <w:rFonts w:eastAsia="Times New Roman"/>
                <w:color w:val="000000"/>
                <w:rtl/>
              </w:rPr>
              <w:t xml:space="preserve"> </w:t>
            </w:r>
            <w:proofErr w:type="spellStart"/>
            <w:r w:rsidRPr="007C33D9">
              <w:rPr>
                <w:rFonts w:eastAsia="Times New Roman"/>
                <w:color w:val="000000"/>
                <w:rtl/>
              </w:rPr>
              <w:t>السيرانية</w:t>
            </w:r>
            <w:proofErr w:type="spellEnd"/>
            <w:r w:rsidRPr="007C33D9">
              <w:rPr>
                <w:rFonts w:eastAsia="Times New Roman"/>
                <w:color w:val="000000"/>
                <w:rtl/>
              </w:rPr>
              <w:t xml:space="preserve"> للمشروعات الحيوية لتعطيل أو أيقاف أو تدمير أو السيطرة العدائية على شبكات </w:t>
            </w:r>
            <w:proofErr w:type="gramStart"/>
            <w:r w:rsidRPr="007C33D9">
              <w:rPr>
                <w:rFonts w:eastAsia="Times New Roman"/>
                <w:color w:val="000000"/>
                <w:rtl/>
              </w:rPr>
              <w:t>الكمبيوتر</w:t>
            </w:r>
            <w:proofErr w:type="gramEnd"/>
            <w:r w:rsidRPr="007C33D9">
              <w:rPr>
                <w:rFonts w:eastAsia="Times New Roman"/>
                <w:color w:val="000000"/>
                <w:rtl/>
              </w:rPr>
              <w:t xml:space="preserve"> أو البنية التحتية الإلكترونية أو تدمير سلامة البيانات أو سرقة المعلومات الرقمية السرية</w:t>
            </w:r>
          </w:p>
        </w:tc>
        <w:tc>
          <w:tcPr>
            <w:tcW w:w="1440" w:type="dxa"/>
            <w:shd w:val="clear" w:color="auto" w:fill="auto"/>
            <w:noWrap/>
            <w:hideMark/>
          </w:tcPr>
          <w:p w14:paraId="5F7A2DD7"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D3D8C6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 xml:space="preserve">الهجوم </w:t>
            </w:r>
            <w:proofErr w:type="spellStart"/>
            <w:r w:rsidRPr="007C33D9">
              <w:rPr>
                <w:rFonts w:eastAsia="Times New Roman"/>
                <w:b/>
                <w:bCs/>
                <w:color w:val="000000"/>
                <w:rtl/>
              </w:rPr>
              <w:t>السيبري</w:t>
            </w:r>
            <w:proofErr w:type="spellEnd"/>
          </w:p>
        </w:tc>
      </w:tr>
      <w:tr w:rsidR="007B5806" w:rsidRPr="007C33D9" w14:paraId="3DB9794F" w14:textId="77777777" w:rsidTr="007B5806">
        <w:trPr>
          <w:trHeight w:val="300"/>
        </w:trPr>
        <w:tc>
          <w:tcPr>
            <w:tcW w:w="2160" w:type="dxa"/>
            <w:shd w:val="clear" w:color="auto" w:fill="auto"/>
            <w:noWrap/>
            <w:hideMark/>
          </w:tcPr>
          <w:p w14:paraId="04831416"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cyberinfrastructure</w:t>
            </w:r>
          </w:p>
        </w:tc>
        <w:tc>
          <w:tcPr>
            <w:tcW w:w="1440" w:type="dxa"/>
            <w:shd w:val="clear" w:color="auto" w:fill="auto"/>
            <w:noWrap/>
            <w:hideMark/>
          </w:tcPr>
          <w:p w14:paraId="33A64CE9"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DE153F9"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Electronic or digital information and communication systems and databases, and the information contained in these systems; organizational intranets, shared networks, and the Internet are all part of cyberinfrastructure</w:t>
            </w:r>
          </w:p>
        </w:tc>
        <w:tc>
          <w:tcPr>
            <w:tcW w:w="3600" w:type="dxa"/>
            <w:shd w:val="clear" w:color="auto" w:fill="auto"/>
            <w:noWrap/>
            <w:hideMark/>
          </w:tcPr>
          <w:p w14:paraId="185F3C52"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المعلومات الإلكترونية أو الرقمية وأنظمة </w:t>
            </w:r>
            <w:proofErr w:type="spellStart"/>
            <w:r w:rsidRPr="007C33D9">
              <w:rPr>
                <w:rFonts w:eastAsia="Times New Roman"/>
                <w:color w:val="000000"/>
                <w:rtl/>
              </w:rPr>
              <w:t>الإتصال</w:t>
            </w:r>
            <w:proofErr w:type="spellEnd"/>
            <w:r w:rsidRPr="007C33D9">
              <w:rPr>
                <w:rFonts w:eastAsia="Times New Roman"/>
                <w:color w:val="000000"/>
                <w:rtl/>
              </w:rPr>
              <w:t xml:space="preserve"> وقواعد البيانات، والمعلومات المدرجة في هذه الأنظمة؛ شبكات الإنترنت الخاصة بالمنظمات المتشابكة وشبكات مشاركة المعلومات والمواقع الشبكية الحيوية تعتبر كلها من مكونات البنية الأساسية السيبرانية</w:t>
            </w:r>
          </w:p>
        </w:tc>
        <w:tc>
          <w:tcPr>
            <w:tcW w:w="1440" w:type="dxa"/>
            <w:shd w:val="clear" w:color="auto" w:fill="auto"/>
            <w:noWrap/>
            <w:hideMark/>
          </w:tcPr>
          <w:p w14:paraId="1899C67F"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E60AC29"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البنية الأساسية السيبرانية</w:t>
            </w:r>
          </w:p>
        </w:tc>
      </w:tr>
      <w:tr w:rsidR="007B5806" w:rsidRPr="007C33D9" w14:paraId="0EE04D2A" w14:textId="77777777" w:rsidTr="007B5806">
        <w:trPr>
          <w:trHeight w:val="300"/>
        </w:trPr>
        <w:tc>
          <w:tcPr>
            <w:tcW w:w="2160" w:type="dxa"/>
            <w:shd w:val="clear" w:color="auto" w:fill="auto"/>
            <w:noWrap/>
            <w:hideMark/>
          </w:tcPr>
          <w:p w14:paraId="0F6FB26E" w14:textId="77777777" w:rsidR="007B5806" w:rsidRPr="007C33D9" w:rsidRDefault="007B5806" w:rsidP="007B5806">
            <w:pPr>
              <w:spacing w:after="0" w:line="240" w:lineRule="auto"/>
              <w:rPr>
                <w:rFonts w:eastAsia="Times New Roman"/>
                <w:b/>
                <w:bCs/>
                <w:color w:val="000000"/>
              </w:rPr>
            </w:pPr>
            <w:proofErr w:type="spellStart"/>
            <w:r w:rsidRPr="007C33D9">
              <w:rPr>
                <w:rFonts w:eastAsia="Times New Roman"/>
                <w:b/>
                <w:bCs/>
                <w:color w:val="000000"/>
              </w:rPr>
              <w:t>cyberinterdependency</w:t>
            </w:r>
            <w:proofErr w:type="spellEnd"/>
          </w:p>
        </w:tc>
        <w:tc>
          <w:tcPr>
            <w:tcW w:w="1440" w:type="dxa"/>
            <w:shd w:val="clear" w:color="auto" w:fill="auto"/>
            <w:noWrap/>
            <w:hideMark/>
          </w:tcPr>
          <w:p w14:paraId="4B1CDA8F"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CF98D6C"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compatibility and commonality of computer operating systems, networks, and databases across many systems</w:t>
            </w:r>
          </w:p>
        </w:tc>
        <w:tc>
          <w:tcPr>
            <w:tcW w:w="3600" w:type="dxa"/>
            <w:shd w:val="clear" w:color="auto" w:fill="auto"/>
            <w:noWrap/>
            <w:hideMark/>
          </w:tcPr>
          <w:p w14:paraId="7CB32A2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درجة التوافق والتشارك بين أنظمة التشغيل الخاصة </w:t>
            </w:r>
            <w:proofErr w:type="gramStart"/>
            <w:r w:rsidRPr="007C33D9">
              <w:rPr>
                <w:rFonts w:eastAsia="Times New Roman"/>
                <w:color w:val="000000"/>
                <w:rtl/>
              </w:rPr>
              <w:t>بالكمبيوتر</w:t>
            </w:r>
            <w:proofErr w:type="gramEnd"/>
            <w:r w:rsidRPr="007C33D9">
              <w:rPr>
                <w:rFonts w:eastAsia="Times New Roman"/>
                <w:color w:val="000000"/>
                <w:rtl/>
              </w:rPr>
              <w:t xml:space="preserve"> وشبكات الحاسوب وقواعد البيانات الإلكترونية العابرة للأنظمة</w:t>
            </w:r>
          </w:p>
        </w:tc>
        <w:tc>
          <w:tcPr>
            <w:tcW w:w="1440" w:type="dxa"/>
            <w:shd w:val="clear" w:color="auto" w:fill="auto"/>
            <w:noWrap/>
            <w:hideMark/>
          </w:tcPr>
          <w:p w14:paraId="0065ADD5"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7CA81BE" w14:textId="77777777" w:rsidR="007B5806" w:rsidRPr="007C33D9" w:rsidRDefault="007B5806" w:rsidP="007B5806">
            <w:pPr>
              <w:bidi/>
              <w:spacing w:after="0" w:line="240" w:lineRule="auto"/>
              <w:rPr>
                <w:rFonts w:eastAsia="Times New Roman"/>
                <w:b/>
                <w:bCs/>
                <w:color w:val="000000"/>
              </w:rPr>
            </w:pPr>
            <w:proofErr w:type="spellStart"/>
            <w:r w:rsidRPr="007C33D9">
              <w:rPr>
                <w:rFonts w:eastAsia="Times New Roman"/>
                <w:b/>
                <w:bCs/>
                <w:color w:val="000000"/>
                <w:rtl/>
              </w:rPr>
              <w:t>الأعتماد</w:t>
            </w:r>
            <w:proofErr w:type="spellEnd"/>
            <w:r w:rsidRPr="007C33D9">
              <w:rPr>
                <w:rFonts w:eastAsia="Times New Roman"/>
                <w:b/>
                <w:bCs/>
                <w:color w:val="000000"/>
                <w:rtl/>
              </w:rPr>
              <w:t xml:space="preserve"> المتبادل على الإنترنت</w:t>
            </w:r>
          </w:p>
        </w:tc>
      </w:tr>
      <w:tr w:rsidR="007B5806" w:rsidRPr="007C33D9" w14:paraId="0C66D868" w14:textId="77777777" w:rsidTr="007B5806">
        <w:trPr>
          <w:trHeight w:val="300"/>
        </w:trPr>
        <w:tc>
          <w:tcPr>
            <w:tcW w:w="2160" w:type="dxa"/>
            <w:shd w:val="clear" w:color="auto" w:fill="auto"/>
            <w:noWrap/>
            <w:hideMark/>
          </w:tcPr>
          <w:p w14:paraId="4DFCFEC7"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cybersecurity</w:t>
            </w:r>
          </w:p>
        </w:tc>
        <w:tc>
          <w:tcPr>
            <w:tcW w:w="1440" w:type="dxa"/>
            <w:shd w:val="clear" w:color="auto" w:fill="auto"/>
            <w:noWrap/>
            <w:hideMark/>
          </w:tcPr>
          <w:p w14:paraId="7DC6ECCF"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377BD34"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Preventing damage to, unauthorized use of, or exploitation of electronic information and communication systems and databases and the information contained therein to ensure confidentiality, integrity, and availability; and restoring electronic information and communications systems in the event of a terrorist attack or natural disaster</w:t>
            </w:r>
          </w:p>
        </w:tc>
        <w:tc>
          <w:tcPr>
            <w:tcW w:w="3600" w:type="dxa"/>
            <w:shd w:val="clear" w:color="auto" w:fill="auto"/>
            <w:noWrap/>
            <w:hideMark/>
          </w:tcPr>
          <w:p w14:paraId="33A2656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منع عمليات التدمير </w:t>
            </w:r>
            <w:proofErr w:type="spellStart"/>
            <w:r w:rsidRPr="007C33D9">
              <w:rPr>
                <w:rFonts w:eastAsia="Times New Roman"/>
                <w:color w:val="000000"/>
                <w:rtl/>
              </w:rPr>
              <w:t>والإستخدام</w:t>
            </w:r>
            <w:proofErr w:type="spellEnd"/>
            <w:r w:rsidRPr="007C33D9">
              <w:rPr>
                <w:rFonts w:eastAsia="Times New Roman"/>
                <w:color w:val="000000"/>
                <w:rtl/>
              </w:rPr>
              <w:t xml:space="preserve"> غير المرخص به أو استغلال المعلومات الإلكترونية وقوعد البيانات والمعلومات المدرجة في الملفات الإلكترونية لضمان الحفاظ على السرية ونزاهة البيانات واتاحتها </w:t>
            </w:r>
            <w:proofErr w:type="spellStart"/>
            <w:r w:rsidRPr="007C33D9">
              <w:rPr>
                <w:rFonts w:eastAsia="Times New Roman"/>
                <w:color w:val="000000"/>
                <w:rtl/>
              </w:rPr>
              <w:t>للإستخدام</w:t>
            </w:r>
            <w:proofErr w:type="spellEnd"/>
            <w:r w:rsidRPr="007C33D9">
              <w:rPr>
                <w:rFonts w:eastAsia="Times New Roman"/>
                <w:color w:val="000000"/>
                <w:rtl/>
              </w:rPr>
              <w:t xml:space="preserve">؛ واسترداد المعلومات الإلكترونية وأنظمة </w:t>
            </w:r>
            <w:proofErr w:type="spellStart"/>
            <w:r w:rsidRPr="007C33D9">
              <w:rPr>
                <w:rFonts w:eastAsia="Times New Roman"/>
                <w:color w:val="000000"/>
                <w:rtl/>
              </w:rPr>
              <w:t>الإتصالات</w:t>
            </w:r>
            <w:proofErr w:type="spellEnd"/>
            <w:r w:rsidRPr="007C33D9">
              <w:rPr>
                <w:rFonts w:eastAsia="Times New Roman"/>
                <w:color w:val="000000"/>
                <w:rtl/>
              </w:rPr>
              <w:t xml:space="preserve"> الإلكترونية في حالة وقوع كارثة طبيعية أو هجوم إرهابي</w:t>
            </w:r>
          </w:p>
        </w:tc>
        <w:tc>
          <w:tcPr>
            <w:tcW w:w="1440" w:type="dxa"/>
            <w:shd w:val="clear" w:color="auto" w:fill="auto"/>
            <w:noWrap/>
            <w:hideMark/>
          </w:tcPr>
          <w:p w14:paraId="781927B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816592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الأمن السيبراني</w:t>
            </w:r>
          </w:p>
        </w:tc>
      </w:tr>
      <w:tr w:rsidR="007B5806" w:rsidRPr="007C33D9" w14:paraId="1AD848C2" w14:textId="77777777" w:rsidTr="007B5806">
        <w:trPr>
          <w:trHeight w:val="300"/>
        </w:trPr>
        <w:tc>
          <w:tcPr>
            <w:tcW w:w="2160" w:type="dxa"/>
            <w:shd w:val="clear" w:color="auto" w:fill="auto"/>
            <w:noWrap/>
            <w:hideMark/>
          </w:tcPr>
          <w:p w14:paraId="6088B9E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cybersecurity engineer</w:t>
            </w:r>
          </w:p>
        </w:tc>
        <w:tc>
          <w:tcPr>
            <w:tcW w:w="1440" w:type="dxa"/>
            <w:shd w:val="clear" w:color="auto" w:fill="auto"/>
            <w:noWrap/>
            <w:hideMark/>
          </w:tcPr>
          <w:p w14:paraId="78511F52"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B2B7A6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personnel role in the information technology department that aids in cybersecurity by determining who requires access to which information; plans, coordinates, and implements information security programs; and helps protect against Internet threats that facilitate cybercrime</w:t>
            </w:r>
          </w:p>
        </w:tc>
        <w:tc>
          <w:tcPr>
            <w:tcW w:w="3600" w:type="dxa"/>
            <w:shd w:val="clear" w:color="auto" w:fill="auto"/>
            <w:noWrap/>
            <w:hideMark/>
          </w:tcPr>
          <w:p w14:paraId="2E03DE1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وظيفة يضطلع بها فرد مسؤول عن قسم تكنولوجيا المعلومات بغرض المساعدة في تحقيق الأمن المعلوماتي </w:t>
            </w:r>
            <w:proofErr w:type="spellStart"/>
            <w:r w:rsidRPr="007C33D9">
              <w:rPr>
                <w:rFonts w:eastAsia="Times New Roman"/>
                <w:color w:val="000000"/>
                <w:rtl/>
              </w:rPr>
              <w:t>السيراني</w:t>
            </w:r>
            <w:proofErr w:type="spellEnd"/>
            <w:r w:rsidRPr="007C33D9">
              <w:rPr>
                <w:rFonts w:eastAsia="Times New Roman"/>
                <w:color w:val="000000"/>
                <w:rtl/>
              </w:rPr>
              <w:t xml:space="preserve"> عن طريق تحديد الأفراد المصرح لهم بالوصول للمعلومات؛ وتحديد الخطط والإحداثيات وتطبيق المعلومات الخاصة ببرامج الأمن، والمساعدة في الحماية ضد تهديدات الأمن عن طريق الإنترنت والتي تعمل على تسهيل الجرائم الإلكترونية</w:t>
            </w:r>
          </w:p>
        </w:tc>
        <w:tc>
          <w:tcPr>
            <w:tcW w:w="1440" w:type="dxa"/>
            <w:shd w:val="clear" w:color="auto" w:fill="auto"/>
            <w:noWrap/>
            <w:hideMark/>
          </w:tcPr>
          <w:p w14:paraId="656C114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DE0242A"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 xml:space="preserve">مهندس الأمن </w:t>
            </w:r>
            <w:proofErr w:type="spellStart"/>
            <w:r w:rsidRPr="007C33D9">
              <w:rPr>
                <w:rFonts w:eastAsia="Times New Roman"/>
                <w:b/>
                <w:bCs/>
                <w:color w:val="000000"/>
                <w:rtl/>
              </w:rPr>
              <w:t>السيراني</w:t>
            </w:r>
            <w:proofErr w:type="spellEnd"/>
          </w:p>
        </w:tc>
      </w:tr>
      <w:tr w:rsidR="007B5806" w:rsidRPr="007C33D9" w14:paraId="29DC4EFF" w14:textId="77777777" w:rsidTr="007B5806">
        <w:trPr>
          <w:trHeight w:val="300"/>
        </w:trPr>
        <w:tc>
          <w:tcPr>
            <w:tcW w:w="2160" w:type="dxa"/>
            <w:shd w:val="clear" w:color="auto" w:fill="auto"/>
            <w:noWrap/>
            <w:hideMark/>
          </w:tcPr>
          <w:p w14:paraId="766C0AB9"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cyberspace</w:t>
            </w:r>
          </w:p>
        </w:tc>
        <w:tc>
          <w:tcPr>
            <w:tcW w:w="1440" w:type="dxa"/>
            <w:shd w:val="clear" w:color="auto" w:fill="auto"/>
            <w:noWrap/>
            <w:hideMark/>
          </w:tcPr>
          <w:p w14:paraId="29E449A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5EA5B9E"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A global domain within the information environment consisting of the interdependent network of information systems infrastructures </w:t>
            </w:r>
            <w:r w:rsidRPr="007C33D9">
              <w:rPr>
                <w:rFonts w:eastAsia="Times New Roman"/>
                <w:color w:val="000000"/>
              </w:rPr>
              <w:lastRenderedPageBreak/>
              <w:t>including the Internet, telecommunications networks, computer systems, and embedded processors and controllers</w:t>
            </w:r>
          </w:p>
        </w:tc>
        <w:tc>
          <w:tcPr>
            <w:tcW w:w="3600" w:type="dxa"/>
            <w:shd w:val="clear" w:color="auto" w:fill="auto"/>
            <w:noWrap/>
            <w:hideMark/>
          </w:tcPr>
          <w:p w14:paraId="7AC98EF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lastRenderedPageBreak/>
              <w:t xml:space="preserve">نطاق عالمي لمشاركة المعلومات يتكون من العديد من الشبكات المتداخلة لأنظمة المعلومات والبنية الأساسية المعلوماتية بما في ذلك الإنترنت وشبكات </w:t>
            </w:r>
            <w:proofErr w:type="spellStart"/>
            <w:r w:rsidRPr="007C33D9">
              <w:rPr>
                <w:rFonts w:eastAsia="Times New Roman"/>
                <w:color w:val="000000"/>
                <w:rtl/>
              </w:rPr>
              <w:t>الإتصال</w:t>
            </w:r>
            <w:proofErr w:type="spellEnd"/>
            <w:r w:rsidRPr="007C33D9">
              <w:rPr>
                <w:rFonts w:eastAsia="Times New Roman"/>
                <w:color w:val="000000"/>
                <w:rtl/>
              </w:rPr>
              <w:t xml:space="preserve"> وشبكات الحاسوب وأنظمة </w:t>
            </w:r>
            <w:proofErr w:type="gramStart"/>
            <w:r w:rsidRPr="007C33D9">
              <w:rPr>
                <w:rFonts w:eastAsia="Times New Roman"/>
                <w:color w:val="000000"/>
                <w:rtl/>
              </w:rPr>
              <w:lastRenderedPageBreak/>
              <w:t>الكمبيوتر</w:t>
            </w:r>
            <w:proofErr w:type="gramEnd"/>
            <w:r w:rsidRPr="007C33D9">
              <w:rPr>
                <w:rFonts w:eastAsia="Times New Roman"/>
                <w:color w:val="000000"/>
                <w:rtl/>
              </w:rPr>
              <w:t xml:space="preserve"> وسائر الأجهزة التي يتم تركيبها داخل تلك الشبكات لتحقيق أهداف التشغيل والسيطرة والتحكم</w:t>
            </w:r>
          </w:p>
        </w:tc>
        <w:tc>
          <w:tcPr>
            <w:tcW w:w="1440" w:type="dxa"/>
            <w:shd w:val="clear" w:color="auto" w:fill="auto"/>
            <w:noWrap/>
            <w:hideMark/>
          </w:tcPr>
          <w:p w14:paraId="217EA061"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1DB6C7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الفضاء الإلكتروني</w:t>
            </w:r>
          </w:p>
        </w:tc>
      </w:tr>
      <w:tr w:rsidR="007B5806" w:rsidRPr="007C33D9" w14:paraId="21C5C946" w14:textId="77777777" w:rsidTr="007B5806">
        <w:trPr>
          <w:trHeight w:val="300"/>
        </w:trPr>
        <w:tc>
          <w:tcPr>
            <w:tcW w:w="2160" w:type="dxa"/>
            <w:shd w:val="clear" w:color="auto" w:fill="auto"/>
            <w:noWrap/>
            <w:hideMark/>
          </w:tcPr>
          <w:p w14:paraId="03CF509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cyberthreat</w:t>
            </w:r>
          </w:p>
        </w:tc>
        <w:tc>
          <w:tcPr>
            <w:tcW w:w="1440" w:type="dxa"/>
            <w:shd w:val="clear" w:color="auto" w:fill="auto"/>
            <w:noWrap/>
            <w:hideMark/>
          </w:tcPr>
          <w:p w14:paraId="4353CDC1"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1094C9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Any circumstance or event with the potential to adversely affect an information system by way of unauthorized access, destruction, disclosure, modification of information, or denial of service</w:t>
            </w:r>
          </w:p>
        </w:tc>
        <w:tc>
          <w:tcPr>
            <w:tcW w:w="3600" w:type="dxa"/>
            <w:shd w:val="clear" w:color="auto" w:fill="auto"/>
            <w:noWrap/>
            <w:hideMark/>
          </w:tcPr>
          <w:p w14:paraId="5CCC10C6"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أية ظروف أو أحداث لها تأثيرات مضادة محتملة على نظام المعلومات عن طريق التدخل غير المرخص </w:t>
            </w:r>
            <w:proofErr w:type="gramStart"/>
            <w:r w:rsidRPr="007C33D9">
              <w:rPr>
                <w:rFonts w:eastAsia="Times New Roman"/>
                <w:color w:val="000000"/>
                <w:rtl/>
              </w:rPr>
              <w:t>وتدمير</w:t>
            </w:r>
            <w:proofErr w:type="gramEnd"/>
            <w:r w:rsidRPr="007C33D9">
              <w:rPr>
                <w:rFonts w:eastAsia="Times New Roman"/>
                <w:color w:val="000000"/>
                <w:rtl/>
              </w:rPr>
              <w:t xml:space="preserve"> أو إفشاء أو تعديل المعلومات أو تعطيل الخدمات المعلوماتية</w:t>
            </w:r>
          </w:p>
        </w:tc>
        <w:tc>
          <w:tcPr>
            <w:tcW w:w="1440" w:type="dxa"/>
            <w:shd w:val="clear" w:color="auto" w:fill="auto"/>
            <w:noWrap/>
            <w:hideMark/>
          </w:tcPr>
          <w:p w14:paraId="1BAC668E"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FE726B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التهديد السيبراني</w:t>
            </w:r>
          </w:p>
        </w:tc>
      </w:tr>
      <w:tr w:rsidR="007B5806" w:rsidRPr="007C33D9" w14:paraId="54406F6D" w14:textId="77777777" w:rsidTr="007B5806">
        <w:trPr>
          <w:trHeight w:val="300"/>
        </w:trPr>
        <w:tc>
          <w:tcPr>
            <w:tcW w:w="2160" w:type="dxa"/>
            <w:shd w:val="clear" w:color="auto" w:fill="auto"/>
            <w:noWrap/>
            <w:hideMark/>
          </w:tcPr>
          <w:p w14:paraId="3BC7472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data call</w:t>
            </w:r>
          </w:p>
        </w:tc>
        <w:tc>
          <w:tcPr>
            <w:tcW w:w="1440" w:type="dxa"/>
            <w:shd w:val="clear" w:color="auto" w:fill="auto"/>
            <w:noWrap/>
            <w:hideMark/>
          </w:tcPr>
          <w:p w14:paraId="6700F935"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B654AE2"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To request information about the site prior to </w:t>
            </w:r>
            <w:proofErr w:type="gramStart"/>
            <w:r w:rsidRPr="007C33D9">
              <w:rPr>
                <w:rFonts w:eastAsia="Times New Roman"/>
                <w:color w:val="000000"/>
              </w:rPr>
              <w:t>actually performing</w:t>
            </w:r>
            <w:proofErr w:type="gramEnd"/>
            <w:r w:rsidRPr="007C33D9">
              <w:rPr>
                <w:rFonts w:eastAsia="Times New Roman"/>
                <w:color w:val="000000"/>
              </w:rPr>
              <w:t xml:space="preserve"> the site visit</w:t>
            </w:r>
          </w:p>
        </w:tc>
        <w:tc>
          <w:tcPr>
            <w:tcW w:w="3600" w:type="dxa"/>
            <w:shd w:val="clear" w:color="auto" w:fill="auto"/>
            <w:noWrap/>
            <w:hideMark/>
          </w:tcPr>
          <w:p w14:paraId="67F697C4"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طلب معلومات عن الموقع قبل زيارة الموقع فعلا</w:t>
            </w:r>
          </w:p>
        </w:tc>
        <w:tc>
          <w:tcPr>
            <w:tcW w:w="1440" w:type="dxa"/>
            <w:shd w:val="clear" w:color="auto" w:fill="auto"/>
            <w:noWrap/>
            <w:hideMark/>
          </w:tcPr>
          <w:p w14:paraId="7A2927F8"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7EF594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استدعاء البيانات</w:t>
            </w:r>
          </w:p>
        </w:tc>
      </w:tr>
      <w:tr w:rsidR="007B5806" w:rsidRPr="007C33D9" w14:paraId="522F1C81" w14:textId="77777777" w:rsidTr="007B5806">
        <w:trPr>
          <w:trHeight w:val="300"/>
        </w:trPr>
        <w:tc>
          <w:tcPr>
            <w:tcW w:w="2160" w:type="dxa"/>
            <w:shd w:val="clear" w:color="auto" w:fill="auto"/>
            <w:noWrap/>
            <w:hideMark/>
          </w:tcPr>
          <w:p w14:paraId="46FF8DC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decay</w:t>
            </w:r>
          </w:p>
        </w:tc>
        <w:tc>
          <w:tcPr>
            <w:tcW w:w="1440" w:type="dxa"/>
            <w:shd w:val="clear" w:color="auto" w:fill="auto"/>
            <w:noWrap/>
            <w:hideMark/>
          </w:tcPr>
          <w:p w14:paraId="54EDE0D5"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4D71C4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shock front’s very rapid drop in pressure as it travels away from the blast seat; objects in the path of the shock front can affect the rate of decay</w:t>
            </w:r>
          </w:p>
        </w:tc>
        <w:tc>
          <w:tcPr>
            <w:tcW w:w="3600" w:type="dxa"/>
            <w:shd w:val="clear" w:color="auto" w:fill="auto"/>
            <w:noWrap/>
            <w:hideMark/>
          </w:tcPr>
          <w:p w14:paraId="0B65966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هبوط سريع جداً في ضغط الانفجار الخاص بمقدمة الصدمة وهي تتحرك بعيداً عن مصدر </w:t>
            </w:r>
            <w:proofErr w:type="spellStart"/>
            <w:r w:rsidRPr="007C33D9">
              <w:rPr>
                <w:rFonts w:eastAsia="Times New Roman"/>
                <w:color w:val="000000"/>
                <w:rtl/>
              </w:rPr>
              <w:t>الإنفجار</w:t>
            </w:r>
            <w:proofErr w:type="spellEnd"/>
            <w:r w:rsidRPr="007C33D9">
              <w:rPr>
                <w:rFonts w:eastAsia="Times New Roman"/>
                <w:color w:val="000000"/>
                <w:rtl/>
              </w:rPr>
              <w:t xml:space="preserve">؛ ويمكن للأشياء المتواجدة في طريق الموجة </w:t>
            </w:r>
            <w:proofErr w:type="spellStart"/>
            <w:r w:rsidRPr="007C33D9">
              <w:rPr>
                <w:rFonts w:eastAsia="Times New Roman"/>
                <w:color w:val="000000"/>
                <w:rtl/>
              </w:rPr>
              <w:t>الإنفجارية</w:t>
            </w:r>
            <w:proofErr w:type="spellEnd"/>
            <w:r w:rsidRPr="007C33D9">
              <w:rPr>
                <w:rFonts w:eastAsia="Times New Roman"/>
                <w:color w:val="000000"/>
                <w:rtl/>
              </w:rPr>
              <w:t xml:space="preserve"> أن تؤثر في معدل الخمود</w:t>
            </w:r>
          </w:p>
        </w:tc>
        <w:tc>
          <w:tcPr>
            <w:tcW w:w="1440" w:type="dxa"/>
            <w:shd w:val="clear" w:color="auto" w:fill="auto"/>
            <w:noWrap/>
            <w:hideMark/>
          </w:tcPr>
          <w:p w14:paraId="5347E4D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8236D92"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الخمود</w:t>
            </w:r>
          </w:p>
        </w:tc>
      </w:tr>
      <w:tr w:rsidR="007B5806" w:rsidRPr="007C33D9" w14:paraId="0E824EA2" w14:textId="77777777" w:rsidTr="007B5806">
        <w:trPr>
          <w:trHeight w:val="300"/>
        </w:trPr>
        <w:tc>
          <w:tcPr>
            <w:tcW w:w="2160" w:type="dxa"/>
            <w:shd w:val="clear" w:color="auto" w:fill="auto"/>
            <w:noWrap/>
            <w:hideMark/>
          </w:tcPr>
          <w:p w14:paraId="74656FFB"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deceit</w:t>
            </w:r>
          </w:p>
        </w:tc>
        <w:tc>
          <w:tcPr>
            <w:tcW w:w="1440" w:type="dxa"/>
            <w:shd w:val="clear" w:color="auto" w:fill="auto"/>
            <w:noWrap/>
            <w:hideMark/>
          </w:tcPr>
          <w:p w14:paraId="7285D855"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3C9214E"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overt act of trying to misinform someone to gain access</w:t>
            </w:r>
          </w:p>
        </w:tc>
        <w:tc>
          <w:tcPr>
            <w:tcW w:w="3600" w:type="dxa"/>
            <w:shd w:val="clear" w:color="auto" w:fill="auto"/>
            <w:noWrap/>
            <w:hideMark/>
          </w:tcPr>
          <w:p w14:paraId="260F5A85"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عمل ظاهر في محاولة لاستدراج شخص أو أشخاص لتحقيق الدخول</w:t>
            </w:r>
          </w:p>
        </w:tc>
        <w:tc>
          <w:tcPr>
            <w:tcW w:w="1440" w:type="dxa"/>
            <w:shd w:val="clear" w:color="auto" w:fill="auto"/>
            <w:noWrap/>
            <w:hideMark/>
          </w:tcPr>
          <w:p w14:paraId="3610681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E76615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الخداع</w:t>
            </w:r>
          </w:p>
        </w:tc>
      </w:tr>
      <w:tr w:rsidR="007B5806" w:rsidRPr="007C33D9" w14:paraId="607E3BA2" w14:textId="77777777" w:rsidTr="007B5806">
        <w:trPr>
          <w:trHeight w:val="300"/>
        </w:trPr>
        <w:tc>
          <w:tcPr>
            <w:tcW w:w="2160" w:type="dxa"/>
            <w:shd w:val="clear" w:color="auto" w:fill="auto"/>
            <w:noWrap/>
            <w:hideMark/>
          </w:tcPr>
          <w:p w14:paraId="380F5D8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delay</w:t>
            </w:r>
          </w:p>
        </w:tc>
        <w:tc>
          <w:tcPr>
            <w:tcW w:w="1440" w:type="dxa"/>
            <w:shd w:val="clear" w:color="auto" w:fill="auto"/>
            <w:noWrap/>
            <w:hideMark/>
          </w:tcPr>
          <w:p w14:paraId="4083616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B3D6F96"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process of slowing down intruders’ progress by increasing the time it will take intruders to achieve their goal</w:t>
            </w:r>
          </w:p>
        </w:tc>
        <w:tc>
          <w:tcPr>
            <w:tcW w:w="3600" w:type="dxa"/>
            <w:shd w:val="clear" w:color="auto" w:fill="auto"/>
            <w:noWrap/>
            <w:hideMark/>
          </w:tcPr>
          <w:p w14:paraId="4EEE90ED"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عملية إبطاء تقدم العناصر المتسللة عن طريق إطالة الفترة الزمنية المستغرقة لتحقيق هدفها </w:t>
            </w:r>
          </w:p>
        </w:tc>
        <w:tc>
          <w:tcPr>
            <w:tcW w:w="1440" w:type="dxa"/>
            <w:shd w:val="clear" w:color="auto" w:fill="auto"/>
            <w:noWrap/>
            <w:hideMark/>
          </w:tcPr>
          <w:p w14:paraId="313AC038"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التأخير</w:t>
            </w:r>
          </w:p>
        </w:tc>
        <w:tc>
          <w:tcPr>
            <w:tcW w:w="2160" w:type="dxa"/>
            <w:shd w:val="clear" w:color="auto" w:fill="auto"/>
            <w:noWrap/>
            <w:hideMark/>
          </w:tcPr>
          <w:p w14:paraId="35ED024E"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التعطيل</w:t>
            </w:r>
          </w:p>
        </w:tc>
      </w:tr>
      <w:tr w:rsidR="007B5806" w:rsidRPr="007C33D9" w14:paraId="20734759" w14:textId="77777777" w:rsidTr="007B5806">
        <w:trPr>
          <w:trHeight w:val="300"/>
        </w:trPr>
        <w:tc>
          <w:tcPr>
            <w:tcW w:w="2160" w:type="dxa"/>
            <w:shd w:val="clear" w:color="auto" w:fill="auto"/>
            <w:noWrap/>
            <w:hideMark/>
          </w:tcPr>
          <w:p w14:paraId="65C292C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deployable barrier</w:t>
            </w:r>
          </w:p>
        </w:tc>
        <w:tc>
          <w:tcPr>
            <w:tcW w:w="1440" w:type="dxa"/>
            <w:shd w:val="clear" w:color="auto" w:fill="auto"/>
            <w:noWrap/>
            <w:hideMark/>
          </w:tcPr>
          <w:p w14:paraId="748525A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303015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obstacle that is only activated when there is an actual threat or attack</w:t>
            </w:r>
          </w:p>
        </w:tc>
        <w:tc>
          <w:tcPr>
            <w:tcW w:w="3600" w:type="dxa"/>
            <w:shd w:val="clear" w:color="auto" w:fill="auto"/>
            <w:noWrap/>
            <w:hideMark/>
          </w:tcPr>
          <w:p w14:paraId="15582A86"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الحواجز التي يمكن تفعيلها فقط عند وقوع تهديد أو هجوم حقيقي </w:t>
            </w:r>
          </w:p>
        </w:tc>
        <w:tc>
          <w:tcPr>
            <w:tcW w:w="1440" w:type="dxa"/>
            <w:shd w:val="clear" w:color="auto" w:fill="auto"/>
            <w:noWrap/>
            <w:hideMark/>
          </w:tcPr>
          <w:p w14:paraId="7264131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43C82D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الحواجز قابلة للنشر</w:t>
            </w:r>
          </w:p>
        </w:tc>
      </w:tr>
      <w:tr w:rsidR="007B5806" w:rsidRPr="007C33D9" w14:paraId="301B8683" w14:textId="77777777" w:rsidTr="007B5806">
        <w:trPr>
          <w:trHeight w:val="300"/>
        </w:trPr>
        <w:tc>
          <w:tcPr>
            <w:tcW w:w="2160" w:type="dxa"/>
            <w:shd w:val="clear" w:color="auto" w:fill="auto"/>
            <w:noWrap/>
            <w:hideMark/>
          </w:tcPr>
          <w:p w14:paraId="0184D66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deployment</w:t>
            </w:r>
          </w:p>
        </w:tc>
        <w:tc>
          <w:tcPr>
            <w:tcW w:w="1440" w:type="dxa"/>
            <w:shd w:val="clear" w:color="auto" w:fill="auto"/>
            <w:noWrap/>
            <w:hideMark/>
          </w:tcPr>
          <w:p w14:paraId="6021382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574261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The actions of the security force from the time communication </w:t>
            </w:r>
            <w:proofErr w:type="gramStart"/>
            <w:r w:rsidRPr="007C33D9">
              <w:rPr>
                <w:rFonts w:eastAsia="Times New Roman"/>
                <w:color w:val="000000"/>
              </w:rPr>
              <w:t>is</w:t>
            </w:r>
            <w:proofErr w:type="gramEnd"/>
            <w:r w:rsidRPr="007C33D9">
              <w:rPr>
                <w:rFonts w:eastAsia="Times New Roman"/>
                <w:color w:val="000000"/>
              </w:rPr>
              <w:t xml:space="preserve"> received that an intruder is attacking until the security force is in position to interrupt the intruder’s actions</w:t>
            </w:r>
          </w:p>
        </w:tc>
        <w:tc>
          <w:tcPr>
            <w:tcW w:w="3600" w:type="dxa"/>
            <w:shd w:val="clear" w:color="auto" w:fill="auto"/>
            <w:noWrap/>
            <w:hideMark/>
          </w:tcPr>
          <w:p w14:paraId="03E6BB5F"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هو مجموعة التحركات التي تتخذها عناصر القوة الأمنية منذ تلقي الإشارة بحدوث تسلل وحتى تصل القوة الأمنية إلى المواقع التي تمكنها من اعتراض الأعمال التي تنوي العناصر المتسللة ارتكابها</w:t>
            </w:r>
          </w:p>
        </w:tc>
        <w:tc>
          <w:tcPr>
            <w:tcW w:w="1440" w:type="dxa"/>
            <w:shd w:val="clear" w:color="auto" w:fill="auto"/>
            <w:noWrap/>
            <w:hideMark/>
          </w:tcPr>
          <w:p w14:paraId="45AECBCE"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نشر العناصر</w:t>
            </w:r>
          </w:p>
        </w:tc>
        <w:tc>
          <w:tcPr>
            <w:tcW w:w="2160" w:type="dxa"/>
            <w:shd w:val="clear" w:color="auto" w:fill="auto"/>
            <w:noWrap/>
            <w:hideMark/>
          </w:tcPr>
          <w:p w14:paraId="5DCD82B0" w14:textId="77777777" w:rsidR="007B5806" w:rsidRPr="007C33D9" w:rsidRDefault="007B5806" w:rsidP="007B5806">
            <w:pPr>
              <w:bidi/>
              <w:spacing w:after="0" w:line="240" w:lineRule="auto"/>
              <w:rPr>
                <w:rFonts w:eastAsia="Times New Roman"/>
                <w:b/>
                <w:bCs/>
                <w:color w:val="000000"/>
              </w:rPr>
            </w:pPr>
            <w:proofErr w:type="spellStart"/>
            <w:r w:rsidRPr="007C33D9">
              <w:rPr>
                <w:rFonts w:eastAsia="Times New Roman"/>
                <w:b/>
                <w:bCs/>
                <w:color w:val="000000"/>
                <w:rtl/>
              </w:rPr>
              <w:t>الإنتشار</w:t>
            </w:r>
            <w:proofErr w:type="spellEnd"/>
          </w:p>
        </w:tc>
      </w:tr>
      <w:tr w:rsidR="007B5806" w:rsidRPr="007C33D9" w14:paraId="54B9F494" w14:textId="77777777" w:rsidTr="007B5806">
        <w:trPr>
          <w:trHeight w:val="300"/>
        </w:trPr>
        <w:tc>
          <w:tcPr>
            <w:tcW w:w="2160" w:type="dxa"/>
            <w:shd w:val="clear" w:color="auto" w:fill="auto"/>
            <w:noWrap/>
            <w:hideMark/>
          </w:tcPr>
          <w:p w14:paraId="2B040AA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detection</w:t>
            </w:r>
          </w:p>
        </w:tc>
        <w:tc>
          <w:tcPr>
            <w:tcW w:w="1440" w:type="dxa"/>
            <w:shd w:val="clear" w:color="auto" w:fill="auto"/>
            <w:noWrap/>
            <w:hideMark/>
          </w:tcPr>
          <w:p w14:paraId="5518C7C9"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2B5492E"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process in which an alarm sensor activates due to an intruder attack, a nuisance alarm, or false alarm</w:t>
            </w:r>
          </w:p>
        </w:tc>
        <w:tc>
          <w:tcPr>
            <w:tcW w:w="3600" w:type="dxa"/>
            <w:shd w:val="clear" w:color="auto" w:fill="auto"/>
            <w:noWrap/>
            <w:hideMark/>
          </w:tcPr>
          <w:p w14:paraId="6FC5376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عملية يتم فيها </w:t>
            </w:r>
            <w:proofErr w:type="spellStart"/>
            <w:r w:rsidRPr="007C33D9">
              <w:rPr>
                <w:rFonts w:eastAsia="Times New Roman"/>
                <w:color w:val="000000"/>
                <w:rtl/>
              </w:rPr>
              <w:t>إنطلاق</w:t>
            </w:r>
            <w:proofErr w:type="spellEnd"/>
            <w:r w:rsidRPr="007C33D9">
              <w:rPr>
                <w:rFonts w:eastAsia="Times New Roman"/>
                <w:color w:val="000000"/>
                <w:rtl/>
              </w:rPr>
              <w:t xml:space="preserve"> إشارة الإنذار من جهاز </w:t>
            </w:r>
            <w:proofErr w:type="spellStart"/>
            <w:r w:rsidRPr="007C33D9">
              <w:rPr>
                <w:rFonts w:eastAsia="Times New Roman"/>
                <w:color w:val="000000"/>
                <w:rtl/>
              </w:rPr>
              <w:t>الإستشعار</w:t>
            </w:r>
            <w:proofErr w:type="spellEnd"/>
            <w:r w:rsidRPr="007C33D9">
              <w:rPr>
                <w:rFonts w:eastAsia="Times New Roman"/>
                <w:color w:val="000000"/>
                <w:rtl/>
              </w:rPr>
              <w:t xml:space="preserve"> بسبب حدوث </w:t>
            </w:r>
            <w:proofErr w:type="gramStart"/>
            <w:r w:rsidRPr="007C33D9">
              <w:rPr>
                <w:rFonts w:eastAsia="Times New Roman"/>
                <w:color w:val="000000"/>
                <w:rtl/>
              </w:rPr>
              <w:t>اختراق</w:t>
            </w:r>
            <w:proofErr w:type="gramEnd"/>
            <w:r w:rsidRPr="007C33D9">
              <w:rPr>
                <w:rFonts w:eastAsia="Times New Roman"/>
                <w:color w:val="000000"/>
                <w:rtl/>
              </w:rPr>
              <w:t xml:space="preserve"> او تسلل، أو بسبب إنذار عارض، أو إنذار كاذب </w:t>
            </w:r>
          </w:p>
        </w:tc>
        <w:tc>
          <w:tcPr>
            <w:tcW w:w="1440" w:type="dxa"/>
            <w:shd w:val="clear" w:color="auto" w:fill="auto"/>
            <w:noWrap/>
            <w:hideMark/>
          </w:tcPr>
          <w:p w14:paraId="7BEB9ED8"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939AD4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الكشف</w:t>
            </w:r>
          </w:p>
        </w:tc>
      </w:tr>
      <w:tr w:rsidR="007B5806" w:rsidRPr="007C33D9" w14:paraId="5D9507F7" w14:textId="77777777" w:rsidTr="007B5806">
        <w:trPr>
          <w:trHeight w:val="300"/>
        </w:trPr>
        <w:tc>
          <w:tcPr>
            <w:tcW w:w="2160" w:type="dxa"/>
            <w:shd w:val="clear" w:color="auto" w:fill="auto"/>
            <w:noWrap/>
            <w:hideMark/>
          </w:tcPr>
          <w:p w14:paraId="7CE8C5E7"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deterrent</w:t>
            </w:r>
          </w:p>
        </w:tc>
        <w:tc>
          <w:tcPr>
            <w:tcW w:w="1440" w:type="dxa"/>
            <w:shd w:val="clear" w:color="auto" w:fill="auto"/>
            <w:noWrap/>
            <w:hideMark/>
          </w:tcPr>
          <w:p w14:paraId="08FD1D9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164E845"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Delay prior to detection; no value added to physical protection system</w:t>
            </w:r>
          </w:p>
        </w:tc>
        <w:tc>
          <w:tcPr>
            <w:tcW w:w="3600" w:type="dxa"/>
            <w:shd w:val="clear" w:color="auto" w:fill="auto"/>
            <w:noWrap/>
            <w:hideMark/>
          </w:tcPr>
          <w:p w14:paraId="472F84A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تعطيل ناتج عن اكتشاف التسلل؛ حيث لا توجد قيمة مضافة لنظام الحماية المادية</w:t>
            </w:r>
          </w:p>
        </w:tc>
        <w:tc>
          <w:tcPr>
            <w:tcW w:w="1440" w:type="dxa"/>
            <w:shd w:val="clear" w:color="auto" w:fill="auto"/>
            <w:noWrap/>
            <w:hideMark/>
          </w:tcPr>
          <w:p w14:paraId="050179A7"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4A4B3DE"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عنصر الردع</w:t>
            </w:r>
          </w:p>
        </w:tc>
      </w:tr>
      <w:tr w:rsidR="007B5806" w:rsidRPr="007C33D9" w14:paraId="4B1DAFF5" w14:textId="77777777" w:rsidTr="007B5806">
        <w:trPr>
          <w:trHeight w:val="300"/>
        </w:trPr>
        <w:tc>
          <w:tcPr>
            <w:tcW w:w="2160" w:type="dxa"/>
            <w:shd w:val="clear" w:color="auto" w:fill="auto"/>
            <w:noWrap/>
            <w:hideMark/>
          </w:tcPr>
          <w:p w14:paraId="395F710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diversion of materials</w:t>
            </w:r>
          </w:p>
        </w:tc>
        <w:tc>
          <w:tcPr>
            <w:tcW w:w="1440" w:type="dxa"/>
            <w:shd w:val="clear" w:color="auto" w:fill="auto"/>
            <w:noWrap/>
            <w:hideMark/>
          </w:tcPr>
          <w:p w14:paraId="1D804C19"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DF42F26"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unlawful movement or transfer of funds, information, or equipment</w:t>
            </w:r>
          </w:p>
        </w:tc>
        <w:tc>
          <w:tcPr>
            <w:tcW w:w="3600" w:type="dxa"/>
            <w:shd w:val="clear" w:color="auto" w:fill="auto"/>
            <w:noWrap/>
            <w:hideMark/>
          </w:tcPr>
          <w:p w14:paraId="7BC1BD5C"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تحريك غير </w:t>
            </w:r>
            <w:proofErr w:type="gramStart"/>
            <w:r w:rsidRPr="007C33D9">
              <w:rPr>
                <w:rFonts w:eastAsia="Times New Roman"/>
                <w:color w:val="000000"/>
                <w:rtl/>
              </w:rPr>
              <w:t>مشروع</w:t>
            </w:r>
            <w:proofErr w:type="gramEnd"/>
            <w:r w:rsidRPr="007C33D9">
              <w:rPr>
                <w:rFonts w:eastAsia="Times New Roman"/>
                <w:color w:val="000000"/>
                <w:rtl/>
              </w:rPr>
              <w:t xml:space="preserve"> أو نقل أموال أو معلومات أو معدات</w:t>
            </w:r>
          </w:p>
        </w:tc>
        <w:tc>
          <w:tcPr>
            <w:tcW w:w="1440" w:type="dxa"/>
            <w:shd w:val="clear" w:color="auto" w:fill="auto"/>
            <w:noWrap/>
            <w:hideMark/>
          </w:tcPr>
          <w:p w14:paraId="528A7C97"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5DA8499"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تحويل مسار المواد</w:t>
            </w:r>
          </w:p>
        </w:tc>
      </w:tr>
      <w:tr w:rsidR="007B5806" w:rsidRPr="007C33D9" w14:paraId="55D88808" w14:textId="77777777" w:rsidTr="007B5806">
        <w:trPr>
          <w:trHeight w:val="300"/>
        </w:trPr>
        <w:tc>
          <w:tcPr>
            <w:tcW w:w="2160" w:type="dxa"/>
            <w:shd w:val="clear" w:color="auto" w:fill="auto"/>
            <w:noWrap/>
            <w:hideMark/>
          </w:tcPr>
          <w:p w14:paraId="4CF423B1"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entry control</w:t>
            </w:r>
          </w:p>
        </w:tc>
        <w:tc>
          <w:tcPr>
            <w:tcW w:w="1440" w:type="dxa"/>
            <w:shd w:val="clear" w:color="auto" w:fill="auto"/>
            <w:noWrap/>
            <w:hideMark/>
          </w:tcPr>
          <w:p w14:paraId="4D0A2766"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99655B0"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way to allow only authorized personnel and materials to enter the facility; detects and prevents attempted entry of unauthorized personnel and material</w:t>
            </w:r>
          </w:p>
        </w:tc>
        <w:tc>
          <w:tcPr>
            <w:tcW w:w="3600" w:type="dxa"/>
            <w:shd w:val="clear" w:color="auto" w:fill="auto"/>
            <w:noWrap/>
            <w:hideMark/>
          </w:tcPr>
          <w:p w14:paraId="37620E6A"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طريقة تحدد فقط السماح للأفراد المأذونين والمواد المسموح بها بدخول المنشأة، مع رصد ومنع أية محاولات نفاذ غير مصرح بها سواء بالنسبة للأفراد أو المعدات أو أية مواد أخرى</w:t>
            </w:r>
          </w:p>
        </w:tc>
        <w:tc>
          <w:tcPr>
            <w:tcW w:w="1440" w:type="dxa"/>
            <w:shd w:val="clear" w:color="auto" w:fill="auto"/>
            <w:noWrap/>
            <w:hideMark/>
          </w:tcPr>
          <w:p w14:paraId="47CFCB4E"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9B73E2A"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التحكم في الدخول</w:t>
            </w:r>
          </w:p>
        </w:tc>
      </w:tr>
      <w:tr w:rsidR="007B5806" w:rsidRPr="007C33D9" w14:paraId="1CFBA4D1" w14:textId="77777777" w:rsidTr="007B5806">
        <w:trPr>
          <w:trHeight w:val="300"/>
        </w:trPr>
        <w:tc>
          <w:tcPr>
            <w:tcW w:w="2160" w:type="dxa"/>
            <w:shd w:val="clear" w:color="auto" w:fill="auto"/>
            <w:noWrap/>
            <w:hideMark/>
          </w:tcPr>
          <w:p w14:paraId="6EE76C47"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error rate</w:t>
            </w:r>
          </w:p>
        </w:tc>
        <w:tc>
          <w:tcPr>
            <w:tcW w:w="1440" w:type="dxa"/>
            <w:shd w:val="clear" w:color="auto" w:fill="auto"/>
            <w:noWrap/>
            <w:hideMark/>
          </w:tcPr>
          <w:p w14:paraId="3F31C3A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32C7C44"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percentage that a specific entry control technique or process falsely rejects an authorized person or falsely accepts an unauthorized person</w:t>
            </w:r>
          </w:p>
        </w:tc>
        <w:tc>
          <w:tcPr>
            <w:tcW w:w="3600" w:type="dxa"/>
            <w:shd w:val="clear" w:color="auto" w:fill="auto"/>
            <w:noWrap/>
            <w:hideMark/>
          </w:tcPr>
          <w:p w14:paraId="0CA8344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النسبة </w:t>
            </w:r>
            <w:proofErr w:type="spellStart"/>
            <w:r w:rsidRPr="007C33D9">
              <w:rPr>
                <w:rFonts w:eastAsia="Times New Roman"/>
                <w:color w:val="000000"/>
                <w:rtl/>
              </w:rPr>
              <w:t>المؤية</w:t>
            </w:r>
            <w:proofErr w:type="spellEnd"/>
            <w:r w:rsidRPr="007C33D9">
              <w:rPr>
                <w:rFonts w:eastAsia="Times New Roman"/>
                <w:color w:val="000000"/>
                <w:rtl/>
              </w:rPr>
              <w:t xml:space="preserve"> لعدد المرات التي يقوم بها أسلوب أو عملية التحكم بالنفاذ إما برفض خاطئ لشخص مرخص له أو بقبول خاطئ لشخص غير مصرح له</w:t>
            </w:r>
          </w:p>
        </w:tc>
        <w:tc>
          <w:tcPr>
            <w:tcW w:w="1440" w:type="dxa"/>
            <w:shd w:val="clear" w:color="auto" w:fill="auto"/>
            <w:noWrap/>
            <w:hideMark/>
          </w:tcPr>
          <w:p w14:paraId="2BEAD0D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A5A159A"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معدل الأخطاء</w:t>
            </w:r>
          </w:p>
        </w:tc>
      </w:tr>
      <w:tr w:rsidR="007B5806" w:rsidRPr="007C33D9" w14:paraId="2BC459A8" w14:textId="77777777" w:rsidTr="007B5806">
        <w:trPr>
          <w:trHeight w:val="300"/>
        </w:trPr>
        <w:tc>
          <w:tcPr>
            <w:tcW w:w="2160" w:type="dxa"/>
            <w:shd w:val="clear" w:color="auto" w:fill="auto"/>
            <w:noWrap/>
            <w:hideMark/>
          </w:tcPr>
          <w:p w14:paraId="7CEEA0AB"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European Union</w:t>
            </w:r>
          </w:p>
        </w:tc>
        <w:tc>
          <w:tcPr>
            <w:tcW w:w="1440" w:type="dxa"/>
            <w:shd w:val="clear" w:color="auto" w:fill="auto"/>
            <w:noWrap/>
            <w:hideMark/>
          </w:tcPr>
          <w:p w14:paraId="6996A98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3F3293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group or confederation of European countries that adheres to a standardized system of laws</w:t>
            </w:r>
          </w:p>
        </w:tc>
        <w:tc>
          <w:tcPr>
            <w:tcW w:w="3600" w:type="dxa"/>
            <w:shd w:val="clear" w:color="auto" w:fill="auto"/>
            <w:noWrap/>
            <w:hideMark/>
          </w:tcPr>
          <w:p w14:paraId="3280F62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مجموعة متحدة من البلاد الأوروبية تلتزم بنظام قياسي من القوانين</w:t>
            </w:r>
          </w:p>
        </w:tc>
        <w:tc>
          <w:tcPr>
            <w:tcW w:w="1440" w:type="dxa"/>
            <w:shd w:val="clear" w:color="auto" w:fill="auto"/>
            <w:noWrap/>
            <w:hideMark/>
          </w:tcPr>
          <w:p w14:paraId="1870017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BF5477D"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الإتحاد الأوروبي</w:t>
            </w:r>
          </w:p>
        </w:tc>
      </w:tr>
      <w:tr w:rsidR="007B5806" w:rsidRPr="007C33D9" w14:paraId="1D5C616D" w14:textId="77777777" w:rsidTr="007B5806">
        <w:trPr>
          <w:trHeight w:val="300"/>
        </w:trPr>
        <w:tc>
          <w:tcPr>
            <w:tcW w:w="2160" w:type="dxa"/>
            <w:shd w:val="clear" w:color="auto" w:fill="auto"/>
            <w:noWrap/>
            <w:hideMark/>
          </w:tcPr>
          <w:p w14:paraId="26B0544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explosion</w:t>
            </w:r>
          </w:p>
        </w:tc>
        <w:tc>
          <w:tcPr>
            <w:tcW w:w="1440" w:type="dxa"/>
            <w:shd w:val="clear" w:color="auto" w:fill="auto"/>
            <w:noWrap/>
            <w:hideMark/>
          </w:tcPr>
          <w:p w14:paraId="559EF8BF"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EB98B02"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extremely rapid release of energy (gases) in the observed physical forms of light, heat, sound, and a shock wave</w:t>
            </w:r>
          </w:p>
        </w:tc>
        <w:tc>
          <w:tcPr>
            <w:tcW w:w="3600" w:type="dxa"/>
            <w:shd w:val="clear" w:color="auto" w:fill="auto"/>
            <w:noWrap/>
            <w:hideMark/>
          </w:tcPr>
          <w:p w14:paraId="3F169A7A" w14:textId="77777777" w:rsidR="007B5806" w:rsidRPr="007C33D9" w:rsidRDefault="007B5806" w:rsidP="007B5806">
            <w:pPr>
              <w:bidi/>
              <w:spacing w:after="0" w:line="240" w:lineRule="auto"/>
              <w:rPr>
                <w:rFonts w:eastAsia="Times New Roman"/>
                <w:color w:val="000000"/>
              </w:rPr>
            </w:pPr>
            <w:proofErr w:type="spellStart"/>
            <w:r w:rsidRPr="007C33D9">
              <w:rPr>
                <w:rFonts w:eastAsia="Times New Roman"/>
                <w:color w:val="000000"/>
                <w:rtl/>
              </w:rPr>
              <w:t>إنطلاق</w:t>
            </w:r>
            <w:proofErr w:type="spellEnd"/>
            <w:r w:rsidRPr="007C33D9">
              <w:rPr>
                <w:rFonts w:eastAsia="Times New Roman"/>
                <w:color w:val="000000"/>
                <w:rtl/>
              </w:rPr>
              <w:t xml:space="preserve"> هائل للطاقة (في صورة غازية) بسرعة فائقة في صورة مرئية من الأشعة الضوئية، والموجات الحرارية </w:t>
            </w:r>
            <w:proofErr w:type="spellStart"/>
            <w:r w:rsidRPr="007C33D9">
              <w:rPr>
                <w:rFonts w:eastAsia="Times New Roman"/>
                <w:color w:val="000000"/>
                <w:rtl/>
              </w:rPr>
              <w:t>والإصطدامية</w:t>
            </w:r>
            <w:proofErr w:type="spellEnd"/>
          </w:p>
        </w:tc>
        <w:tc>
          <w:tcPr>
            <w:tcW w:w="1440" w:type="dxa"/>
            <w:shd w:val="clear" w:color="auto" w:fill="auto"/>
            <w:noWrap/>
            <w:hideMark/>
          </w:tcPr>
          <w:p w14:paraId="6131107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25260E8"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الانفجار</w:t>
            </w:r>
          </w:p>
        </w:tc>
      </w:tr>
      <w:tr w:rsidR="007B5806" w:rsidRPr="007C33D9" w14:paraId="14C01024" w14:textId="77777777" w:rsidTr="007B5806">
        <w:trPr>
          <w:trHeight w:val="300"/>
        </w:trPr>
        <w:tc>
          <w:tcPr>
            <w:tcW w:w="2160" w:type="dxa"/>
            <w:shd w:val="clear" w:color="auto" w:fill="auto"/>
            <w:noWrap/>
            <w:hideMark/>
          </w:tcPr>
          <w:p w14:paraId="7C124E76"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explosives</w:t>
            </w:r>
          </w:p>
        </w:tc>
        <w:tc>
          <w:tcPr>
            <w:tcW w:w="1440" w:type="dxa"/>
            <w:shd w:val="clear" w:color="auto" w:fill="auto"/>
            <w:noWrap/>
            <w:hideMark/>
          </w:tcPr>
          <w:p w14:paraId="65590A16"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3E4ECB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Substances that have the potential to release a very large amount of energy in a very short </w:t>
            </w:r>
            <w:proofErr w:type="gramStart"/>
            <w:r w:rsidRPr="007C33D9">
              <w:rPr>
                <w:rFonts w:eastAsia="Times New Roman"/>
                <w:color w:val="000000"/>
              </w:rPr>
              <w:t>period of time</w:t>
            </w:r>
            <w:proofErr w:type="gramEnd"/>
          </w:p>
        </w:tc>
        <w:tc>
          <w:tcPr>
            <w:tcW w:w="3600" w:type="dxa"/>
            <w:shd w:val="clear" w:color="auto" w:fill="auto"/>
            <w:noWrap/>
            <w:hideMark/>
          </w:tcPr>
          <w:p w14:paraId="2059486D"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المواد القابلة لإطلاق كميات هائلة من الطاقة في فترة قصيرة جدا من الزمن.</w:t>
            </w:r>
          </w:p>
        </w:tc>
        <w:tc>
          <w:tcPr>
            <w:tcW w:w="1440" w:type="dxa"/>
            <w:shd w:val="clear" w:color="auto" w:fill="auto"/>
            <w:noWrap/>
            <w:hideMark/>
          </w:tcPr>
          <w:p w14:paraId="1C3C365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CFCAE8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المتفجرات</w:t>
            </w:r>
          </w:p>
        </w:tc>
      </w:tr>
      <w:tr w:rsidR="007B5806" w:rsidRPr="007C33D9" w14:paraId="27D07C3C" w14:textId="77777777" w:rsidTr="007B5806">
        <w:trPr>
          <w:trHeight w:val="300"/>
        </w:trPr>
        <w:tc>
          <w:tcPr>
            <w:tcW w:w="2160" w:type="dxa"/>
            <w:shd w:val="clear" w:color="auto" w:fill="auto"/>
            <w:noWrap/>
            <w:hideMark/>
          </w:tcPr>
          <w:p w14:paraId="2737F72B"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false acceptance rate</w:t>
            </w:r>
          </w:p>
        </w:tc>
        <w:tc>
          <w:tcPr>
            <w:tcW w:w="1440" w:type="dxa"/>
            <w:shd w:val="clear" w:color="auto" w:fill="auto"/>
            <w:noWrap/>
            <w:hideMark/>
          </w:tcPr>
          <w:p w14:paraId="2911E80A"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EFFA30C"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measure of effectiveness of entry control; the frequency at which false identities or credentials are allowed entry (3 out of every 1000 entries)</w:t>
            </w:r>
          </w:p>
        </w:tc>
        <w:tc>
          <w:tcPr>
            <w:tcW w:w="3600" w:type="dxa"/>
            <w:shd w:val="clear" w:color="auto" w:fill="auto"/>
            <w:noWrap/>
            <w:hideMark/>
          </w:tcPr>
          <w:p w14:paraId="201ECDEA"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قياس فعالية التحكم في الدخول، وتصل نسبة السماح بدخول هويات مزورة أو وثائق هوية مزيفة (3 من كل 1000 حالة دخول)</w:t>
            </w:r>
          </w:p>
        </w:tc>
        <w:tc>
          <w:tcPr>
            <w:tcW w:w="1440" w:type="dxa"/>
            <w:shd w:val="clear" w:color="auto" w:fill="auto"/>
            <w:noWrap/>
            <w:hideMark/>
          </w:tcPr>
          <w:p w14:paraId="58CE5995"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F4F7F38"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معدل السماح الخاطئ بالنفاذ</w:t>
            </w:r>
          </w:p>
        </w:tc>
      </w:tr>
      <w:tr w:rsidR="007B5806" w:rsidRPr="007C33D9" w14:paraId="63A3605F" w14:textId="77777777" w:rsidTr="007B5806">
        <w:trPr>
          <w:trHeight w:val="300"/>
        </w:trPr>
        <w:tc>
          <w:tcPr>
            <w:tcW w:w="2160" w:type="dxa"/>
            <w:shd w:val="clear" w:color="auto" w:fill="auto"/>
            <w:noWrap/>
            <w:hideMark/>
          </w:tcPr>
          <w:p w14:paraId="043ACB1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false alarm</w:t>
            </w:r>
          </w:p>
        </w:tc>
        <w:tc>
          <w:tcPr>
            <w:tcW w:w="1440" w:type="dxa"/>
            <w:shd w:val="clear" w:color="auto" w:fill="auto"/>
            <w:noWrap/>
            <w:hideMark/>
          </w:tcPr>
          <w:p w14:paraId="5E8CE04E"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D85F2B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Any alarm where the cause of activation cannot be determined</w:t>
            </w:r>
          </w:p>
        </w:tc>
        <w:tc>
          <w:tcPr>
            <w:tcW w:w="3600" w:type="dxa"/>
            <w:shd w:val="clear" w:color="auto" w:fill="auto"/>
            <w:noWrap/>
            <w:hideMark/>
          </w:tcPr>
          <w:p w14:paraId="76BD4346"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أية إنذارات لا يتم تحديد سبب انطلاقها</w:t>
            </w:r>
          </w:p>
        </w:tc>
        <w:tc>
          <w:tcPr>
            <w:tcW w:w="1440" w:type="dxa"/>
            <w:shd w:val="clear" w:color="auto" w:fill="auto"/>
            <w:noWrap/>
            <w:hideMark/>
          </w:tcPr>
          <w:p w14:paraId="55CACABE"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FD0ADAB"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الإنذارات الكاذبة</w:t>
            </w:r>
          </w:p>
        </w:tc>
      </w:tr>
      <w:tr w:rsidR="007B5806" w:rsidRPr="007C33D9" w14:paraId="4D321F06" w14:textId="77777777" w:rsidTr="007B5806">
        <w:trPr>
          <w:trHeight w:val="300"/>
        </w:trPr>
        <w:tc>
          <w:tcPr>
            <w:tcW w:w="2160" w:type="dxa"/>
            <w:shd w:val="clear" w:color="auto" w:fill="auto"/>
            <w:noWrap/>
            <w:hideMark/>
          </w:tcPr>
          <w:p w14:paraId="0DB501E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false rejection rate</w:t>
            </w:r>
          </w:p>
        </w:tc>
        <w:tc>
          <w:tcPr>
            <w:tcW w:w="1440" w:type="dxa"/>
            <w:shd w:val="clear" w:color="auto" w:fill="auto"/>
            <w:noWrap/>
            <w:hideMark/>
          </w:tcPr>
          <w:p w14:paraId="74165873"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84C1EB4"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measure of effectiveness of entry control; the frequency at which access to authorized personnel is denied (1 out of every 1000 entries)</w:t>
            </w:r>
          </w:p>
        </w:tc>
        <w:tc>
          <w:tcPr>
            <w:tcW w:w="3600" w:type="dxa"/>
            <w:shd w:val="clear" w:color="auto" w:fill="auto"/>
            <w:noWrap/>
            <w:hideMark/>
          </w:tcPr>
          <w:p w14:paraId="3B429AA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قياس فعالية التحكم بالنفاذ، وتصل نسبة رفض دخول أشخاص مأذونين ومعهم تصاريح (1 من كل 1000 حالة دخول)</w:t>
            </w:r>
          </w:p>
        </w:tc>
        <w:tc>
          <w:tcPr>
            <w:tcW w:w="1440" w:type="dxa"/>
            <w:shd w:val="clear" w:color="auto" w:fill="auto"/>
            <w:noWrap/>
            <w:hideMark/>
          </w:tcPr>
          <w:p w14:paraId="053412E0"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9C4C7C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معدل الرفض الخاطئ للنفاذ</w:t>
            </w:r>
          </w:p>
        </w:tc>
      </w:tr>
      <w:tr w:rsidR="007B5806" w:rsidRPr="007C33D9" w14:paraId="2F066A88" w14:textId="77777777" w:rsidTr="007B5806">
        <w:trPr>
          <w:trHeight w:val="300"/>
        </w:trPr>
        <w:tc>
          <w:tcPr>
            <w:tcW w:w="2160" w:type="dxa"/>
            <w:shd w:val="clear" w:color="auto" w:fill="auto"/>
            <w:noWrap/>
            <w:hideMark/>
          </w:tcPr>
          <w:p w14:paraId="16DD065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feasibility</w:t>
            </w:r>
          </w:p>
        </w:tc>
        <w:tc>
          <w:tcPr>
            <w:tcW w:w="1440" w:type="dxa"/>
            <w:shd w:val="clear" w:color="auto" w:fill="auto"/>
            <w:noWrap/>
            <w:hideMark/>
          </w:tcPr>
          <w:p w14:paraId="384822C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26BCFF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Implementing security measures that are logical based on the situation and considering time, financial resources, personnel, and resources that it will take to implement</w:t>
            </w:r>
          </w:p>
        </w:tc>
        <w:tc>
          <w:tcPr>
            <w:tcW w:w="3600" w:type="dxa"/>
            <w:shd w:val="clear" w:color="auto" w:fill="auto"/>
            <w:noWrap/>
            <w:hideMark/>
          </w:tcPr>
          <w:p w14:paraId="3D16FB9F"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تطبيق تدابير الأمن المنطقية بناء على الوضع واعتبارات الوقت والموارد المالية والأفراد وسائر الموارد المتاحة المطلوبة عند التطبيق</w:t>
            </w:r>
          </w:p>
        </w:tc>
        <w:tc>
          <w:tcPr>
            <w:tcW w:w="1440" w:type="dxa"/>
            <w:shd w:val="clear" w:color="auto" w:fill="auto"/>
            <w:noWrap/>
            <w:hideMark/>
          </w:tcPr>
          <w:p w14:paraId="35BFCD0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A28EC8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الجدوى</w:t>
            </w:r>
          </w:p>
        </w:tc>
      </w:tr>
      <w:tr w:rsidR="007B5806" w:rsidRPr="007C33D9" w14:paraId="6D50590F" w14:textId="77777777" w:rsidTr="007B5806">
        <w:trPr>
          <w:trHeight w:val="300"/>
        </w:trPr>
        <w:tc>
          <w:tcPr>
            <w:tcW w:w="2160" w:type="dxa"/>
            <w:shd w:val="clear" w:color="auto" w:fill="auto"/>
            <w:noWrap/>
            <w:hideMark/>
          </w:tcPr>
          <w:p w14:paraId="2431B06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firewall</w:t>
            </w:r>
          </w:p>
        </w:tc>
        <w:tc>
          <w:tcPr>
            <w:tcW w:w="1440" w:type="dxa"/>
            <w:shd w:val="clear" w:color="auto" w:fill="auto"/>
            <w:noWrap/>
            <w:hideMark/>
          </w:tcPr>
          <w:p w14:paraId="214A61A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D91EB09"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network security system designed to provide protection against outside attackers by shielding your computer or network from malicious or unnecessary network traffic and preventing malicious software from accessing the network</w:t>
            </w:r>
          </w:p>
        </w:tc>
        <w:tc>
          <w:tcPr>
            <w:tcW w:w="3600" w:type="dxa"/>
            <w:shd w:val="clear" w:color="auto" w:fill="auto"/>
            <w:noWrap/>
            <w:hideMark/>
          </w:tcPr>
          <w:p w14:paraId="21F2932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نظام أمني شبكي مصمم لتوفير الحماية ضد عناصر الهجوم الخارجي عن طريق عمل درع لحماية أجهزة </w:t>
            </w:r>
            <w:proofErr w:type="gramStart"/>
            <w:r w:rsidRPr="007C33D9">
              <w:rPr>
                <w:rFonts w:eastAsia="Times New Roman"/>
                <w:color w:val="000000"/>
                <w:rtl/>
              </w:rPr>
              <w:t>الكمبيوتر</w:t>
            </w:r>
            <w:proofErr w:type="gramEnd"/>
            <w:r w:rsidRPr="007C33D9">
              <w:rPr>
                <w:rFonts w:eastAsia="Times New Roman"/>
                <w:color w:val="000000"/>
                <w:rtl/>
              </w:rPr>
              <w:t xml:space="preserve"> أو الشبكة المعلوماتية من أي دخول خبيث أو غير ضروري ومنع البرمجيات الخبيثة من دخول الشبكة</w:t>
            </w:r>
          </w:p>
        </w:tc>
        <w:tc>
          <w:tcPr>
            <w:tcW w:w="1440" w:type="dxa"/>
            <w:shd w:val="clear" w:color="auto" w:fill="auto"/>
            <w:noWrap/>
            <w:hideMark/>
          </w:tcPr>
          <w:p w14:paraId="72044C08"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9E5BB5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جدار ناري</w:t>
            </w:r>
          </w:p>
        </w:tc>
      </w:tr>
      <w:tr w:rsidR="007B5806" w:rsidRPr="007C33D9" w14:paraId="4F1CDD24" w14:textId="77777777" w:rsidTr="007B5806">
        <w:trPr>
          <w:trHeight w:val="300"/>
        </w:trPr>
        <w:tc>
          <w:tcPr>
            <w:tcW w:w="2160" w:type="dxa"/>
            <w:shd w:val="clear" w:color="auto" w:fill="auto"/>
            <w:noWrap/>
            <w:hideMark/>
          </w:tcPr>
          <w:p w14:paraId="3E75829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flow rate</w:t>
            </w:r>
          </w:p>
        </w:tc>
        <w:tc>
          <w:tcPr>
            <w:tcW w:w="1440" w:type="dxa"/>
            <w:shd w:val="clear" w:color="auto" w:fill="auto"/>
            <w:noWrap/>
            <w:hideMark/>
          </w:tcPr>
          <w:p w14:paraId="3D1FDBA8"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A3A9F1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measure of the time it takes for an authorized person or material to successfully pass an entry or exit point</w:t>
            </w:r>
          </w:p>
        </w:tc>
        <w:tc>
          <w:tcPr>
            <w:tcW w:w="3600" w:type="dxa"/>
            <w:shd w:val="clear" w:color="auto" w:fill="auto"/>
            <w:noWrap/>
            <w:hideMark/>
          </w:tcPr>
          <w:p w14:paraId="05F5EDC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قياس الزمن المستغرق لكي يعبر شخص مأذون أو مواد من منفذ </w:t>
            </w:r>
            <w:proofErr w:type="spellStart"/>
            <w:r w:rsidRPr="007C33D9">
              <w:rPr>
                <w:rFonts w:eastAsia="Times New Roman"/>
                <w:color w:val="000000"/>
                <w:rtl/>
              </w:rPr>
              <w:t>أونقطة</w:t>
            </w:r>
            <w:proofErr w:type="spellEnd"/>
            <w:r w:rsidRPr="007C33D9">
              <w:rPr>
                <w:rFonts w:eastAsia="Times New Roman"/>
                <w:color w:val="000000"/>
                <w:rtl/>
              </w:rPr>
              <w:t xml:space="preserve"> خروج</w:t>
            </w:r>
          </w:p>
        </w:tc>
        <w:tc>
          <w:tcPr>
            <w:tcW w:w="1440" w:type="dxa"/>
            <w:shd w:val="clear" w:color="auto" w:fill="auto"/>
            <w:noWrap/>
            <w:hideMark/>
          </w:tcPr>
          <w:p w14:paraId="46AFBC8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EDFE9E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معدل التدفق</w:t>
            </w:r>
          </w:p>
        </w:tc>
      </w:tr>
      <w:tr w:rsidR="007B5806" w:rsidRPr="007C33D9" w14:paraId="48C9A5B3" w14:textId="77777777" w:rsidTr="007B5806">
        <w:trPr>
          <w:trHeight w:val="300"/>
        </w:trPr>
        <w:tc>
          <w:tcPr>
            <w:tcW w:w="2160" w:type="dxa"/>
            <w:shd w:val="clear" w:color="auto" w:fill="auto"/>
            <w:noWrap/>
            <w:hideMark/>
          </w:tcPr>
          <w:p w14:paraId="215C9DF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force</w:t>
            </w:r>
          </w:p>
        </w:tc>
        <w:tc>
          <w:tcPr>
            <w:tcW w:w="1440" w:type="dxa"/>
            <w:shd w:val="clear" w:color="auto" w:fill="auto"/>
            <w:noWrap/>
            <w:hideMark/>
          </w:tcPr>
          <w:p w14:paraId="79242E05"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C065F3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overt attempt to overcome a physical protection security system by violence</w:t>
            </w:r>
          </w:p>
        </w:tc>
        <w:tc>
          <w:tcPr>
            <w:tcW w:w="3600" w:type="dxa"/>
            <w:shd w:val="clear" w:color="auto" w:fill="auto"/>
            <w:noWrap/>
            <w:hideMark/>
          </w:tcPr>
          <w:p w14:paraId="1B8096E1"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محاولة ظاهرة للتغلب على نظام الأمن المادي بالعنف</w:t>
            </w:r>
          </w:p>
        </w:tc>
        <w:tc>
          <w:tcPr>
            <w:tcW w:w="1440" w:type="dxa"/>
            <w:shd w:val="clear" w:color="auto" w:fill="auto"/>
            <w:noWrap/>
            <w:hideMark/>
          </w:tcPr>
          <w:p w14:paraId="2F2908F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44A7DD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القوة</w:t>
            </w:r>
          </w:p>
        </w:tc>
      </w:tr>
      <w:tr w:rsidR="007B5806" w:rsidRPr="007C33D9" w14:paraId="096C1793" w14:textId="77777777" w:rsidTr="007B5806">
        <w:trPr>
          <w:trHeight w:val="300"/>
        </w:trPr>
        <w:tc>
          <w:tcPr>
            <w:tcW w:w="2160" w:type="dxa"/>
            <w:shd w:val="clear" w:color="auto" w:fill="auto"/>
            <w:noWrap/>
            <w:hideMark/>
          </w:tcPr>
          <w:p w14:paraId="7AE697A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fragmentation</w:t>
            </w:r>
          </w:p>
        </w:tc>
        <w:tc>
          <w:tcPr>
            <w:tcW w:w="1440" w:type="dxa"/>
            <w:shd w:val="clear" w:color="auto" w:fill="auto"/>
            <w:noWrap/>
            <w:hideMark/>
          </w:tcPr>
          <w:p w14:paraId="7B548A0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541115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Occurs when the blast pressure effect of the explosion breaks the material that had been part of the bomb or of nearby objects into pieces</w:t>
            </w:r>
          </w:p>
        </w:tc>
        <w:tc>
          <w:tcPr>
            <w:tcW w:w="3600" w:type="dxa"/>
            <w:shd w:val="clear" w:color="auto" w:fill="auto"/>
            <w:noWrap/>
            <w:hideMark/>
          </w:tcPr>
          <w:p w14:paraId="5C42A00D"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يحدث عندما يتحول ضغط الأثر </w:t>
            </w:r>
            <w:proofErr w:type="spellStart"/>
            <w:r w:rsidRPr="007C33D9">
              <w:rPr>
                <w:rFonts w:eastAsia="Times New Roman"/>
                <w:color w:val="000000"/>
                <w:rtl/>
              </w:rPr>
              <w:t>الإنفجاري</w:t>
            </w:r>
            <w:proofErr w:type="spellEnd"/>
            <w:r w:rsidRPr="007C33D9">
              <w:rPr>
                <w:rFonts w:eastAsia="Times New Roman"/>
                <w:color w:val="000000"/>
                <w:rtl/>
              </w:rPr>
              <w:t xml:space="preserve"> إلى تفتيت المادة التي كانت تشكل جزء من القنبلة مع الأشياء المحيطة </w:t>
            </w:r>
            <w:proofErr w:type="spellStart"/>
            <w:r w:rsidRPr="007C33D9">
              <w:rPr>
                <w:rFonts w:eastAsia="Times New Roman"/>
                <w:color w:val="000000"/>
                <w:rtl/>
              </w:rPr>
              <w:t>بالإنفجار</w:t>
            </w:r>
            <w:proofErr w:type="spellEnd"/>
          </w:p>
        </w:tc>
        <w:tc>
          <w:tcPr>
            <w:tcW w:w="1440" w:type="dxa"/>
            <w:shd w:val="clear" w:color="auto" w:fill="auto"/>
            <w:noWrap/>
            <w:hideMark/>
          </w:tcPr>
          <w:p w14:paraId="0302F927"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41D0C42"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التشظّي</w:t>
            </w:r>
          </w:p>
        </w:tc>
      </w:tr>
      <w:tr w:rsidR="007B5806" w:rsidRPr="007C33D9" w14:paraId="2E9E467B" w14:textId="77777777" w:rsidTr="007B5806">
        <w:trPr>
          <w:trHeight w:val="300"/>
        </w:trPr>
        <w:tc>
          <w:tcPr>
            <w:tcW w:w="2160" w:type="dxa"/>
            <w:shd w:val="clear" w:color="auto" w:fill="auto"/>
            <w:noWrap/>
            <w:hideMark/>
          </w:tcPr>
          <w:p w14:paraId="12D1137C"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fragments</w:t>
            </w:r>
          </w:p>
        </w:tc>
        <w:tc>
          <w:tcPr>
            <w:tcW w:w="1440" w:type="dxa"/>
            <w:shd w:val="clear" w:color="auto" w:fill="auto"/>
            <w:noWrap/>
            <w:hideMark/>
          </w:tcPr>
          <w:p w14:paraId="79E52E8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8379B0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Pieces of a bomb or nearby objects that are carried outward by the blast wave</w:t>
            </w:r>
          </w:p>
        </w:tc>
        <w:tc>
          <w:tcPr>
            <w:tcW w:w="3600" w:type="dxa"/>
            <w:shd w:val="clear" w:color="auto" w:fill="auto"/>
            <w:noWrap/>
            <w:hideMark/>
          </w:tcPr>
          <w:p w14:paraId="38436A95"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قطع من أجزاء القنبلة أو الأشياء المحيطة </w:t>
            </w:r>
            <w:proofErr w:type="spellStart"/>
            <w:r w:rsidRPr="007C33D9">
              <w:rPr>
                <w:rFonts w:eastAsia="Times New Roman"/>
                <w:color w:val="000000"/>
                <w:rtl/>
              </w:rPr>
              <w:t>بالإنفجار</w:t>
            </w:r>
            <w:proofErr w:type="spellEnd"/>
            <w:r w:rsidRPr="007C33D9">
              <w:rPr>
                <w:rFonts w:eastAsia="Times New Roman"/>
                <w:color w:val="000000"/>
                <w:rtl/>
              </w:rPr>
              <w:t xml:space="preserve"> يتم حملها بفعل موجة الانفجار</w:t>
            </w:r>
          </w:p>
        </w:tc>
        <w:tc>
          <w:tcPr>
            <w:tcW w:w="1440" w:type="dxa"/>
            <w:shd w:val="clear" w:color="auto" w:fill="auto"/>
            <w:noWrap/>
            <w:hideMark/>
          </w:tcPr>
          <w:p w14:paraId="0D5CA675"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66A7F3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شظايا</w:t>
            </w:r>
          </w:p>
        </w:tc>
      </w:tr>
      <w:tr w:rsidR="007B5806" w:rsidRPr="007C33D9" w14:paraId="1105E42D" w14:textId="77777777" w:rsidTr="007B5806">
        <w:trPr>
          <w:trHeight w:val="300"/>
        </w:trPr>
        <w:tc>
          <w:tcPr>
            <w:tcW w:w="2160" w:type="dxa"/>
            <w:shd w:val="clear" w:color="auto" w:fill="auto"/>
            <w:noWrap/>
            <w:hideMark/>
          </w:tcPr>
          <w:p w14:paraId="0902A1B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gap analysis</w:t>
            </w:r>
          </w:p>
        </w:tc>
        <w:tc>
          <w:tcPr>
            <w:tcW w:w="1440" w:type="dxa"/>
            <w:shd w:val="clear" w:color="auto" w:fill="auto"/>
            <w:noWrap/>
            <w:hideMark/>
          </w:tcPr>
          <w:p w14:paraId="4501E84E"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539CC7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The process of identifying the difference (the gap) between existing </w:t>
            </w:r>
            <w:r w:rsidRPr="007C33D9">
              <w:rPr>
                <w:rFonts w:eastAsia="Times New Roman"/>
                <w:color w:val="000000"/>
              </w:rPr>
              <w:lastRenderedPageBreak/>
              <w:t>security measures and the necessary future security measure(s)</w:t>
            </w:r>
          </w:p>
        </w:tc>
        <w:tc>
          <w:tcPr>
            <w:tcW w:w="3600" w:type="dxa"/>
            <w:shd w:val="clear" w:color="auto" w:fill="auto"/>
            <w:noWrap/>
            <w:hideMark/>
          </w:tcPr>
          <w:p w14:paraId="456663D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lastRenderedPageBreak/>
              <w:t>هو عملية تحديد الفارق (الفجوة) بين الإجراءات الأمنية القائمة والإجراءات الأمنية الضرورية للمستقبل</w:t>
            </w:r>
          </w:p>
        </w:tc>
        <w:tc>
          <w:tcPr>
            <w:tcW w:w="1440" w:type="dxa"/>
            <w:shd w:val="clear" w:color="auto" w:fill="auto"/>
            <w:noWrap/>
            <w:hideMark/>
          </w:tcPr>
          <w:p w14:paraId="04115BAB"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8F66ED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تحليل الفجوة</w:t>
            </w:r>
          </w:p>
        </w:tc>
      </w:tr>
      <w:tr w:rsidR="007B5806" w:rsidRPr="007C33D9" w14:paraId="65872FB1" w14:textId="77777777" w:rsidTr="007B5806">
        <w:trPr>
          <w:trHeight w:val="300"/>
        </w:trPr>
        <w:tc>
          <w:tcPr>
            <w:tcW w:w="2160" w:type="dxa"/>
            <w:shd w:val="clear" w:color="auto" w:fill="auto"/>
            <w:noWrap/>
            <w:hideMark/>
          </w:tcPr>
          <w:p w14:paraId="2A0F582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gap analysis process</w:t>
            </w:r>
          </w:p>
        </w:tc>
        <w:tc>
          <w:tcPr>
            <w:tcW w:w="1440" w:type="dxa"/>
            <w:shd w:val="clear" w:color="auto" w:fill="auto"/>
            <w:noWrap/>
            <w:hideMark/>
          </w:tcPr>
          <w:p w14:paraId="29B6C1A4"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32F7DC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steps that security managers use to compare the actual performance of an existing physical protection system with its potential performance</w:t>
            </w:r>
          </w:p>
        </w:tc>
        <w:tc>
          <w:tcPr>
            <w:tcW w:w="3600" w:type="dxa"/>
            <w:shd w:val="clear" w:color="auto" w:fill="auto"/>
            <w:noWrap/>
            <w:hideMark/>
          </w:tcPr>
          <w:p w14:paraId="2FF83266"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أداة يستخدمها مديرو الأمن لمقارنة الأداء "الفعلي" لنظام الأمني المادي القائم بالأداء "المحتمل" لنفس النظام.</w:t>
            </w:r>
          </w:p>
        </w:tc>
        <w:tc>
          <w:tcPr>
            <w:tcW w:w="1440" w:type="dxa"/>
            <w:shd w:val="clear" w:color="auto" w:fill="auto"/>
            <w:noWrap/>
            <w:hideMark/>
          </w:tcPr>
          <w:p w14:paraId="5FB2525D"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70E956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إجراء تحليل الفجوة</w:t>
            </w:r>
          </w:p>
        </w:tc>
      </w:tr>
      <w:tr w:rsidR="007B5806" w:rsidRPr="007C33D9" w14:paraId="52A6FAFA" w14:textId="77777777" w:rsidTr="007B5806">
        <w:trPr>
          <w:trHeight w:val="300"/>
        </w:trPr>
        <w:tc>
          <w:tcPr>
            <w:tcW w:w="2160" w:type="dxa"/>
            <w:shd w:val="clear" w:color="auto" w:fill="auto"/>
            <w:noWrap/>
            <w:hideMark/>
          </w:tcPr>
          <w:p w14:paraId="0E3D82E1"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hacker</w:t>
            </w:r>
          </w:p>
        </w:tc>
        <w:tc>
          <w:tcPr>
            <w:tcW w:w="1440" w:type="dxa"/>
            <w:shd w:val="clear" w:color="auto" w:fill="auto"/>
            <w:noWrap/>
            <w:hideMark/>
          </w:tcPr>
          <w:p w14:paraId="68D2A29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3B4652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person who seeks to gain unauthorized access to the computer data of another person or organization</w:t>
            </w:r>
          </w:p>
        </w:tc>
        <w:tc>
          <w:tcPr>
            <w:tcW w:w="3600" w:type="dxa"/>
            <w:shd w:val="clear" w:color="auto" w:fill="auto"/>
            <w:noWrap/>
            <w:hideMark/>
          </w:tcPr>
          <w:p w14:paraId="6A9A65E2"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شخص يحاول تحقيق دخول غير مشروع </w:t>
            </w:r>
            <w:proofErr w:type="spellStart"/>
            <w:r w:rsidRPr="007C33D9">
              <w:rPr>
                <w:rFonts w:eastAsia="Times New Roman"/>
                <w:color w:val="000000"/>
                <w:rtl/>
              </w:rPr>
              <w:t>للإطلاع</w:t>
            </w:r>
            <w:proofErr w:type="spellEnd"/>
            <w:r w:rsidRPr="007C33D9">
              <w:rPr>
                <w:rFonts w:eastAsia="Times New Roman"/>
                <w:color w:val="000000"/>
                <w:rtl/>
              </w:rPr>
              <w:t xml:space="preserve"> على بيانات الحاسوب الخاصة بشخص آخر أو منظمة</w:t>
            </w:r>
          </w:p>
        </w:tc>
        <w:tc>
          <w:tcPr>
            <w:tcW w:w="1440" w:type="dxa"/>
            <w:shd w:val="clear" w:color="auto" w:fill="auto"/>
            <w:noWrap/>
            <w:hideMark/>
          </w:tcPr>
          <w:p w14:paraId="404376B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72E9F6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المخترق</w:t>
            </w:r>
          </w:p>
        </w:tc>
      </w:tr>
      <w:tr w:rsidR="007B5806" w:rsidRPr="007C33D9" w14:paraId="368261FC" w14:textId="77777777" w:rsidTr="007B5806">
        <w:trPr>
          <w:trHeight w:val="300"/>
        </w:trPr>
        <w:tc>
          <w:tcPr>
            <w:tcW w:w="2160" w:type="dxa"/>
            <w:shd w:val="clear" w:color="auto" w:fill="auto"/>
            <w:noWrap/>
            <w:hideMark/>
          </w:tcPr>
          <w:p w14:paraId="6AF735B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handbook</w:t>
            </w:r>
          </w:p>
        </w:tc>
        <w:tc>
          <w:tcPr>
            <w:tcW w:w="1440" w:type="dxa"/>
            <w:shd w:val="clear" w:color="auto" w:fill="auto"/>
            <w:noWrap/>
            <w:hideMark/>
          </w:tcPr>
          <w:p w14:paraId="28D39E38"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96998CB"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handbook contains resource material that supports the presentation. Examples include a threaded case study or other information that participants use in multiple modules.</w:t>
            </w:r>
          </w:p>
        </w:tc>
        <w:tc>
          <w:tcPr>
            <w:tcW w:w="3600" w:type="dxa"/>
            <w:shd w:val="clear" w:color="auto" w:fill="auto"/>
            <w:noWrap/>
            <w:hideMark/>
          </w:tcPr>
          <w:p w14:paraId="4317846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يحتوي الكتيب على مواد وموارد لدعم العرض. تتضمن الأمثلة دراسة حالة مترابطة أو معلومات أخرى يمكن للمشاركين استخدامها في عدة وحدات. </w:t>
            </w:r>
          </w:p>
        </w:tc>
        <w:tc>
          <w:tcPr>
            <w:tcW w:w="1440" w:type="dxa"/>
            <w:shd w:val="clear" w:color="auto" w:fill="auto"/>
            <w:noWrap/>
            <w:hideMark/>
          </w:tcPr>
          <w:p w14:paraId="783F496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EEF89B3"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الكتيب</w:t>
            </w:r>
          </w:p>
        </w:tc>
      </w:tr>
      <w:tr w:rsidR="007B5806" w:rsidRPr="007C33D9" w14:paraId="67CBD2FE" w14:textId="77777777" w:rsidTr="007B5806">
        <w:trPr>
          <w:trHeight w:val="300"/>
        </w:trPr>
        <w:tc>
          <w:tcPr>
            <w:tcW w:w="2160" w:type="dxa"/>
            <w:shd w:val="clear" w:color="auto" w:fill="auto"/>
            <w:noWrap/>
            <w:hideMark/>
          </w:tcPr>
          <w:p w14:paraId="42F5BEB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handout</w:t>
            </w:r>
          </w:p>
        </w:tc>
        <w:tc>
          <w:tcPr>
            <w:tcW w:w="1440" w:type="dxa"/>
            <w:shd w:val="clear" w:color="auto" w:fill="auto"/>
            <w:noWrap/>
            <w:hideMark/>
          </w:tcPr>
          <w:p w14:paraId="68A3295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67679F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handout supports the presentation and is distributed at a designated point in the course. Examples include knowledge surveys or exercise injects.</w:t>
            </w:r>
          </w:p>
        </w:tc>
        <w:tc>
          <w:tcPr>
            <w:tcW w:w="3600" w:type="dxa"/>
            <w:shd w:val="clear" w:color="auto" w:fill="auto"/>
            <w:noWrap/>
            <w:hideMark/>
          </w:tcPr>
          <w:p w14:paraId="1A313CB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تعمل ورقة العمل الموزعة على دعم العرض ويتم توزيعها عند نقطة محددة في الدورة. تشتمل الأمثلة على الاستبيانات المعرفية أو تمارين تدريبية.</w:t>
            </w:r>
          </w:p>
        </w:tc>
        <w:tc>
          <w:tcPr>
            <w:tcW w:w="1440" w:type="dxa"/>
            <w:shd w:val="clear" w:color="auto" w:fill="auto"/>
            <w:noWrap/>
            <w:hideMark/>
          </w:tcPr>
          <w:p w14:paraId="6DF2FF5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E3B662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الوثائق الموزعة</w:t>
            </w:r>
          </w:p>
        </w:tc>
      </w:tr>
      <w:tr w:rsidR="007B5806" w:rsidRPr="007C33D9" w14:paraId="548B8F5C" w14:textId="77777777" w:rsidTr="007B5806">
        <w:trPr>
          <w:trHeight w:val="300"/>
        </w:trPr>
        <w:tc>
          <w:tcPr>
            <w:tcW w:w="2160" w:type="dxa"/>
            <w:shd w:val="clear" w:color="auto" w:fill="auto"/>
            <w:noWrap/>
            <w:hideMark/>
          </w:tcPr>
          <w:p w14:paraId="116A43C7"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hostile surveillance</w:t>
            </w:r>
          </w:p>
        </w:tc>
        <w:tc>
          <w:tcPr>
            <w:tcW w:w="1440" w:type="dxa"/>
            <w:shd w:val="clear" w:color="auto" w:fill="auto"/>
            <w:noWrap/>
            <w:hideMark/>
          </w:tcPr>
          <w:p w14:paraId="34B6D32E"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4D053C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discreet monitoring of a person, facility, or area with the intent of gathering information to formulate a plan that will enhance the likelihood of a successful terrorist operation or attack</w:t>
            </w:r>
          </w:p>
        </w:tc>
        <w:tc>
          <w:tcPr>
            <w:tcW w:w="3600" w:type="dxa"/>
            <w:shd w:val="clear" w:color="auto" w:fill="auto"/>
            <w:noWrap/>
            <w:hideMark/>
          </w:tcPr>
          <w:p w14:paraId="272B628C"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المراقبة السرية لشخص أو منشأة أو منطقة بغرض جمع المعلومات لوضع خطة تعزز من احتمالية نجاح عملية إرهابية أو هجوم إرهابي.</w:t>
            </w:r>
          </w:p>
        </w:tc>
        <w:tc>
          <w:tcPr>
            <w:tcW w:w="1440" w:type="dxa"/>
            <w:shd w:val="clear" w:color="auto" w:fill="auto"/>
            <w:noWrap/>
            <w:hideMark/>
          </w:tcPr>
          <w:p w14:paraId="4670597E"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F261F4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مراقبة معادية</w:t>
            </w:r>
          </w:p>
        </w:tc>
      </w:tr>
      <w:tr w:rsidR="007B5806" w:rsidRPr="007C33D9" w14:paraId="12259BF9" w14:textId="77777777" w:rsidTr="007B5806">
        <w:trPr>
          <w:trHeight w:val="300"/>
        </w:trPr>
        <w:tc>
          <w:tcPr>
            <w:tcW w:w="2160" w:type="dxa"/>
            <w:shd w:val="clear" w:color="auto" w:fill="auto"/>
            <w:noWrap/>
            <w:hideMark/>
          </w:tcPr>
          <w:p w14:paraId="090793B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human rights</w:t>
            </w:r>
          </w:p>
        </w:tc>
        <w:tc>
          <w:tcPr>
            <w:tcW w:w="1440" w:type="dxa"/>
            <w:shd w:val="clear" w:color="auto" w:fill="auto"/>
            <w:noWrap/>
            <w:hideMark/>
          </w:tcPr>
          <w:p w14:paraId="02BA9E6A"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C5BEE32"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Freedoms established by custom or international agreement that impose standards of conduct on all nations</w:t>
            </w:r>
          </w:p>
        </w:tc>
        <w:tc>
          <w:tcPr>
            <w:tcW w:w="3600" w:type="dxa"/>
            <w:shd w:val="clear" w:color="auto" w:fill="auto"/>
            <w:noWrap/>
            <w:hideMark/>
          </w:tcPr>
          <w:p w14:paraId="7DCDDC03"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هي حريات يتم وضعها وفقاً للتقاليد أو بموجب اتفاقية دولية، وتفرض معاييرَ للسلوك على جميع البلدان. </w:t>
            </w:r>
          </w:p>
        </w:tc>
        <w:tc>
          <w:tcPr>
            <w:tcW w:w="1440" w:type="dxa"/>
            <w:shd w:val="clear" w:color="auto" w:fill="auto"/>
            <w:noWrap/>
            <w:hideMark/>
          </w:tcPr>
          <w:p w14:paraId="5D7E6CD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622DA82"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حقوق الإنسان</w:t>
            </w:r>
          </w:p>
        </w:tc>
      </w:tr>
      <w:tr w:rsidR="007B5806" w:rsidRPr="007C33D9" w14:paraId="7B47F658" w14:textId="77777777" w:rsidTr="007B5806">
        <w:trPr>
          <w:trHeight w:val="300"/>
        </w:trPr>
        <w:tc>
          <w:tcPr>
            <w:tcW w:w="2160" w:type="dxa"/>
            <w:shd w:val="clear" w:color="auto" w:fill="auto"/>
            <w:noWrap/>
            <w:hideMark/>
          </w:tcPr>
          <w:p w14:paraId="47DD64C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improvised explosive device</w:t>
            </w:r>
          </w:p>
        </w:tc>
        <w:tc>
          <w:tcPr>
            <w:tcW w:w="1440" w:type="dxa"/>
            <w:shd w:val="clear" w:color="auto" w:fill="auto"/>
            <w:noWrap/>
            <w:hideMark/>
          </w:tcPr>
          <w:p w14:paraId="136F8DB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IED</w:t>
            </w:r>
          </w:p>
        </w:tc>
        <w:tc>
          <w:tcPr>
            <w:tcW w:w="3600" w:type="dxa"/>
            <w:shd w:val="clear" w:color="auto" w:fill="auto"/>
            <w:noWrap/>
            <w:hideMark/>
          </w:tcPr>
          <w:p w14:paraId="399C8F8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Any device placed or fabricated in an improvised manner incorporating </w:t>
            </w:r>
            <w:r w:rsidRPr="007C33D9">
              <w:rPr>
                <w:rFonts w:eastAsia="Times New Roman"/>
                <w:color w:val="000000"/>
              </w:rPr>
              <w:lastRenderedPageBreak/>
              <w:t>destructive, lethal, noxious, pyrotechnic, or incendiary chemicals and designed to destroy, incapacitate, harass, or distract</w:t>
            </w:r>
          </w:p>
        </w:tc>
        <w:tc>
          <w:tcPr>
            <w:tcW w:w="3600" w:type="dxa"/>
            <w:shd w:val="clear" w:color="auto" w:fill="auto"/>
            <w:noWrap/>
            <w:hideMark/>
          </w:tcPr>
          <w:p w14:paraId="463A228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lastRenderedPageBreak/>
              <w:t xml:space="preserve">هو جهاز يزرع أو يُصّنع على نحو مرتجل ويحتوي على مواد مدمرة </w:t>
            </w:r>
            <w:proofErr w:type="spellStart"/>
            <w:r w:rsidRPr="007C33D9">
              <w:rPr>
                <w:rFonts w:eastAsia="Times New Roman"/>
                <w:color w:val="000000"/>
                <w:rtl/>
              </w:rPr>
              <w:t>أومهلكة</w:t>
            </w:r>
            <w:proofErr w:type="spellEnd"/>
            <w:r w:rsidRPr="007C33D9">
              <w:rPr>
                <w:rFonts w:eastAsia="Times New Roman"/>
                <w:color w:val="000000"/>
                <w:rtl/>
              </w:rPr>
              <w:t xml:space="preserve"> أو ضارة أو </w:t>
            </w:r>
            <w:r w:rsidRPr="007C33D9">
              <w:rPr>
                <w:rFonts w:eastAsia="Times New Roman"/>
                <w:color w:val="000000"/>
                <w:rtl/>
              </w:rPr>
              <w:lastRenderedPageBreak/>
              <w:t xml:space="preserve">نارية أو كيماويات حارقة، ومصمم </w:t>
            </w:r>
            <w:proofErr w:type="gramStart"/>
            <w:r w:rsidRPr="007C33D9">
              <w:rPr>
                <w:rFonts w:eastAsia="Times New Roman"/>
                <w:color w:val="000000"/>
                <w:rtl/>
              </w:rPr>
              <w:t>للتدمير</w:t>
            </w:r>
            <w:proofErr w:type="gramEnd"/>
            <w:r w:rsidRPr="007C33D9">
              <w:rPr>
                <w:rFonts w:eastAsia="Times New Roman"/>
                <w:color w:val="000000"/>
                <w:rtl/>
              </w:rPr>
              <w:t xml:space="preserve"> أو التعجيز أو الإنهاك أو إشاعة الفوضى.</w:t>
            </w:r>
          </w:p>
        </w:tc>
        <w:tc>
          <w:tcPr>
            <w:tcW w:w="1440" w:type="dxa"/>
            <w:shd w:val="clear" w:color="auto" w:fill="auto"/>
            <w:noWrap/>
            <w:hideMark/>
          </w:tcPr>
          <w:p w14:paraId="3F4B66A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IED</w:t>
            </w:r>
          </w:p>
        </w:tc>
        <w:tc>
          <w:tcPr>
            <w:tcW w:w="2160" w:type="dxa"/>
            <w:shd w:val="clear" w:color="auto" w:fill="auto"/>
            <w:noWrap/>
            <w:hideMark/>
          </w:tcPr>
          <w:p w14:paraId="4AAD740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جهاز متفجر مرتجل</w:t>
            </w:r>
          </w:p>
        </w:tc>
      </w:tr>
      <w:tr w:rsidR="007B5806" w:rsidRPr="007C33D9" w14:paraId="35A0BC70" w14:textId="77777777" w:rsidTr="007B5806">
        <w:trPr>
          <w:trHeight w:val="300"/>
        </w:trPr>
        <w:tc>
          <w:tcPr>
            <w:tcW w:w="2160" w:type="dxa"/>
            <w:shd w:val="clear" w:color="auto" w:fill="auto"/>
            <w:noWrap/>
            <w:hideMark/>
          </w:tcPr>
          <w:p w14:paraId="12C27FB7"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incident command post</w:t>
            </w:r>
          </w:p>
        </w:tc>
        <w:tc>
          <w:tcPr>
            <w:tcW w:w="1440" w:type="dxa"/>
            <w:shd w:val="clear" w:color="auto" w:fill="auto"/>
            <w:noWrap/>
            <w:hideMark/>
          </w:tcPr>
          <w:p w14:paraId="4AAA38C4"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F50944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location from which the incident commander manages search and response activities</w:t>
            </w:r>
          </w:p>
        </w:tc>
        <w:tc>
          <w:tcPr>
            <w:tcW w:w="3600" w:type="dxa"/>
            <w:shd w:val="clear" w:color="auto" w:fill="auto"/>
            <w:noWrap/>
            <w:hideMark/>
          </w:tcPr>
          <w:p w14:paraId="5154BF1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هو الموقع الذي يستخدمه الضابط المسؤول عن إدارة الأزمة في عمليات البحث والتجاوب وسائر الأنشطة الخاصة بمعالجة الموقف المتأزم</w:t>
            </w:r>
          </w:p>
        </w:tc>
        <w:tc>
          <w:tcPr>
            <w:tcW w:w="1440" w:type="dxa"/>
            <w:shd w:val="clear" w:color="auto" w:fill="auto"/>
            <w:noWrap/>
            <w:hideMark/>
          </w:tcPr>
          <w:p w14:paraId="3B3456E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1F60167"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مركز قيادة الحادث</w:t>
            </w:r>
          </w:p>
        </w:tc>
      </w:tr>
      <w:tr w:rsidR="007B5806" w:rsidRPr="007C33D9" w14:paraId="572CF76D" w14:textId="77777777" w:rsidTr="007B5806">
        <w:trPr>
          <w:trHeight w:val="300"/>
        </w:trPr>
        <w:tc>
          <w:tcPr>
            <w:tcW w:w="2160" w:type="dxa"/>
            <w:shd w:val="clear" w:color="auto" w:fill="auto"/>
            <w:noWrap/>
            <w:hideMark/>
          </w:tcPr>
          <w:p w14:paraId="7269DD5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incident pressure</w:t>
            </w:r>
          </w:p>
        </w:tc>
        <w:tc>
          <w:tcPr>
            <w:tcW w:w="1440" w:type="dxa"/>
            <w:shd w:val="clear" w:color="auto" w:fill="auto"/>
            <w:noWrap/>
            <w:hideMark/>
          </w:tcPr>
          <w:p w14:paraId="625E4054"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4D6C6FB"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Exerted at right angles to the point of detonation as the blast wave expands</w:t>
            </w:r>
          </w:p>
        </w:tc>
        <w:tc>
          <w:tcPr>
            <w:tcW w:w="3600" w:type="dxa"/>
            <w:shd w:val="clear" w:color="auto" w:fill="auto"/>
            <w:noWrap/>
            <w:hideMark/>
          </w:tcPr>
          <w:p w14:paraId="4E9C7DAC"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الضغط على الزوايا لدرجة </w:t>
            </w:r>
            <w:proofErr w:type="spellStart"/>
            <w:r w:rsidRPr="007C33D9">
              <w:rPr>
                <w:rFonts w:eastAsia="Times New Roman"/>
                <w:color w:val="000000"/>
                <w:rtl/>
              </w:rPr>
              <w:t>الإنفجار</w:t>
            </w:r>
            <w:proofErr w:type="spellEnd"/>
            <w:r w:rsidRPr="007C33D9">
              <w:rPr>
                <w:rFonts w:eastAsia="Times New Roman"/>
                <w:color w:val="000000"/>
                <w:rtl/>
              </w:rPr>
              <w:t xml:space="preserve"> أثناء تمدد موجة الانفجار</w:t>
            </w:r>
          </w:p>
        </w:tc>
        <w:tc>
          <w:tcPr>
            <w:tcW w:w="1440" w:type="dxa"/>
            <w:shd w:val="clear" w:color="auto" w:fill="auto"/>
            <w:noWrap/>
            <w:hideMark/>
          </w:tcPr>
          <w:p w14:paraId="648E1E4D"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B2D629D"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ضغط الحادث</w:t>
            </w:r>
          </w:p>
        </w:tc>
      </w:tr>
      <w:tr w:rsidR="007B5806" w:rsidRPr="007C33D9" w14:paraId="3BDBB453" w14:textId="77777777" w:rsidTr="007B5806">
        <w:trPr>
          <w:trHeight w:val="300"/>
        </w:trPr>
        <w:tc>
          <w:tcPr>
            <w:tcW w:w="2160" w:type="dxa"/>
            <w:shd w:val="clear" w:color="auto" w:fill="auto"/>
            <w:noWrap/>
            <w:hideMark/>
          </w:tcPr>
          <w:p w14:paraId="731CFAF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information system</w:t>
            </w:r>
          </w:p>
        </w:tc>
        <w:tc>
          <w:tcPr>
            <w:tcW w:w="1440" w:type="dxa"/>
            <w:shd w:val="clear" w:color="auto" w:fill="auto"/>
            <w:noWrap/>
            <w:hideMark/>
          </w:tcPr>
          <w:p w14:paraId="39D5DFC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CF6B8B9"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discrete set of information resources organized for the collection, processing, maintenance, use, sharing, dissemination, or disposition of information</w:t>
            </w:r>
          </w:p>
        </w:tc>
        <w:tc>
          <w:tcPr>
            <w:tcW w:w="3600" w:type="dxa"/>
            <w:shd w:val="clear" w:color="auto" w:fill="auto"/>
            <w:noWrap/>
            <w:hideMark/>
          </w:tcPr>
          <w:p w14:paraId="00196C7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مجموعة منفصلة من الموارد المعلوماتية التي تم تنظيمها لأغراض الجمع والمعالجة والصيانة </w:t>
            </w:r>
            <w:proofErr w:type="spellStart"/>
            <w:r w:rsidRPr="007C33D9">
              <w:rPr>
                <w:rFonts w:eastAsia="Times New Roman"/>
                <w:color w:val="000000"/>
                <w:rtl/>
              </w:rPr>
              <w:t>والإستخدام</w:t>
            </w:r>
            <w:proofErr w:type="spellEnd"/>
            <w:r w:rsidRPr="007C33D9">
              <w:rPr>
                <w:rFonts w:eastAsia="Times New Roman"/>
                <w:color w:val="000000"/>
                <w:rtl/>
              </w:rPr>
              <w:t xml:space="preserve"> والمشاركة والنشر أو التخلص من المعلومات</w:t>
            </w:r>
          </w:p>
        </w:tc>
        <w:tc>
          <w:tcPr>
            <w:tcW w:w="1440" w:type="dxa"/>
            <w:shd w:val="clear" w:color="auto" w:fill="auto"/>
            <w:noWrap/>
            <w:hideMark/>
          </w:tcPr>
          <w:p w14:paraId="6A631A9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6FF5137"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نظم المعلومات</w:t>
            </w:r>
          </w:p>
        </w:tc>
      </w:tr>
      <w:tr w:rsidR="007B5806" w:rsidRPr="007C33D9" w14:paraId="486595B0" w14:textId="77777777" w:rsidTr="007B5806">
        <w:trPr>
          <w:trHeight w:val="300"/>
        </w:trPr>
        <w:tc>
          <w:tcPr>
            <w:tcW w:w="2160" w:type="dxa"/>
            <w:shd w:val="clear" w:color="auto" w:fill="auto"/>
            <w:noWrap/>
            <w:hideMark/>
          </w:tcPr>
          <w:p w14:paraId="76A1AC0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information system-related security risks</w:t>
            </w:r>
          </w:p>
        </w:tc>
        <w:tc>
          <w:tcPr>
            <w:tcW w:w="1440" w:type="dxa"/>
            <w:shd w:val="clear" w:color="auto" w:fill="auto"/>
            <w:noWrap/>
            <w:hideMark/>
          </w:tcPr>
          <w:p w14:paraId="3351FE4F"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B95EE25"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Those risks that arise through the loss of confidentiality, integrity, or availability of information or information systems and consider the effect on the organization (including assets, mission, functions, image, or reputation), individuals, other organizations, and the nation</w:t>
            </w:r>
          </w:p>
        </w:tc>
        <w:tc>
          <w:tcPr>
            <w:tcW w:w="3600" w:type="dxa"/>
            <w:shd w:val="clear" w:color="auto" w:fill="auto"/>
            <w:noWrap/>
            <w:hideMark/>
          </w:tcPr>
          <w:p w14:paraId="71DDEC4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تلك المخاطر الناشئة من فقدان </w:t>
            </w:r>
            <w:proofErr w:type="gramStart"/>
            <w:r w:rsidRPr="007C33D9">
              <w:rPr>
                <w:rFonts w:eastAsia="Times New Roman"/>
                <w:color w:val="000000"/>
                <w:rtl/>
              </w:rPr>
              <w:t>السرية</w:t>
            </w:r>
            <w:proofErr w:type="gramEnd"/>
            <w:r w:rsidRPr="007C33D9">
              <w:rPr>
                <w:rFonts w:eastAsia="Times New Roman"/>
                <w:color w:val="000000"/>
                <w:rtl/>
              </w:rPr>
              <w:t xml:space="preserve"> أو نزاهة المعلومات أو مدى توافرها وإتاحتها أو أنظمة المعلومات مع النظر بعين </w:t>
            </w:r>
            <w:proofErr w:type="spellStart"/>
            <w:r w:rsidRPr="007C33D9">
              <w:rPr>
                <w:rFonts w:eastAsia="Times New Roman"/>
                <w:color w:val="000000"/>
                <w:rtl/>
              </w:rPr>
              <w:t>الإعتبار</w:t>
            </w:r>
            <w:proofErr w:type="spellEnd"/>
            <w:r w:rsidRPr="007C33D9">
              <w:rPr>
                <w:rFonts w:eastAsia="Times New Roman"/>
                <w:color w:val="000000"/>
                <w:rtl/>
              </w:rPr>
              <w:t xml:space="preserve"> لتأثير ذلك على المنظمة (بما في ذلك الأصول، والمهمة، والوظائف، وشكل المنظمات أو الأفراد أو سمعتها)، الموظفين وسائر المنظمات والأمة بأثرها</w:t>
            </w:r>
          </w:p>
        </w:tc>
        <w:tc>
          <w:tcPr>
            <w:tcW w:w="1440" w:type="dxa"/>
            <w:shd w:val="clear" w:color="auto" w:fill="auto"/>
            <w:noWrap/>
            <w:hideMark/>
          </w:tcPr>
          <w:p w14:paraId="69BEAD9E"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3178567"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المخاطر الأمنية المتعلقة بأنظمة المعلومات</w:t>
            </w:r>
          </w:p>
        </w:tc>
      </w:tr>
      <w:tr w:rsidR="007B5806" w:rsidRPr="007C33D9" w14:paraId="7523FE82" w14:textId="77777777" w:rsidTr="007B5806">
        <w:trPr>
          <w:trHeight w:val="300"/>
        </w:trPr>
        <w:tc>
          <w:tcPr>
            <w:tcW w:w="2160" w:type="dxa"/>
            <w:shd w:val="clear" w:color="auto" w:fill="auto"/>
            <w:noWrap/>
            <w:hideMark/>
          </w:tcPr>
          <w:p w14:paraId="7C2C4F89"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information technology</w:t>
            </w:r>
          </w:p>
        </w:tc>
        <w:tc>
          <w:tcPr>
            <w:tcW w:w="1440" w:type="dxa"/>
            <w:shd w:val="clear" w:color="auto" w:fill="auto"/>
            <w:noWrap/>
            <w:hideMark/>
          </w:tcPr>
          <w:p w14:paraId="4AF4295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3E3B286"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Any equipment or interconnected system or subsystem of equipment that is used in the automatic acquisition, storage, manipulation, management, movement, control, display, switching, interchange, transmission, or reception of data or information by a law enforcement agency — this includes computers, ancillary equipment, software, firmware, and similar procedures, </w:t>
            </w:r>
            <w:r w:rsidRPr="007C33D9">
              <w:rPr>
                <w:rFonts w:eastAsia="Times New Roman"/>
                <w:color w:val="000000"/>
              </w:rPr>
              <w:lastRenderedPageBreak/>
              <w:t>services (including support services), and related resources</w:t>
            </w:r>
          </w:p>
        </w:tc>
        <w:tc>
          <w:tcPr>
            <w:tcW w:w="3600" w:type="dxa"/>
            <w:shd w:val="clear" w:color="auto" w:fill="auto"/>
            <w:noWrap/>
            <w:hideMark/>
          </w:tcPr>
          <w:p w14:paraId="21447B13"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lastRenderedPageBreak/>
              <w:t xml:space="preserve">أية معدات أو أنظمة متصلة أو أنظمة فرعية للمعدات المستخدمة في الحيازة التلقائية، أو التخزين، أو المعالجة، أو الإدارة، أو الحركة، أو السيطرة، أو العرض، أو </w:t>
            </w:r>
            <w:proofErr w:type="spellStart"/>
            <w:r w:rsidRPr="007C33D9">
              <w:rPr>
                <w:rFonts w:eastAsia="Times New Roman"/>
                <w:color w:val="000000"/>
                <w:rtl/>
              </w:rPr>
              <w:t>الإستبدال</w:t>
            </w:r>
            <w:proofErr w:type="spellEnd"/>
            <w:r w:rsidRPr="007C33D9">
              <w:rPr>
                <w:rFonts w:eastAsia="Times New Roman"/>
                <w:color w:val="000000"/>
                <w:rtl/>
              </w:rPr>
              <w:t xml:space="preserve">، أو التبادل، أو النقل، أو </w:t>
            </w:r>
            <w:proofErr w:type="gramStart"/>
            <w:r w:rsidRPr="007C33D9">
              <w:rPr>
                <w:rFonts w:eastAsia="Times New Roman"/>
                <w:color w:val="000000"/>
                <w:rtl/>
              </w:rPr>
              <w:t xml:space="preserve">استقبال البيانات </w:t>
            </w:r>
            <w:proofErr w:type="gramEnd"/>
            <w:r w:rsidRPr="007C33D9">
              <w:rPr>
                <w:rFonts w:eastAsia="Times New Roman"/>
                <w:color w:val="000000"/>
                <w:rtl/>
              </w:rPr>
              <w:t>أو المعلومات من جانب هيئات إنفاذ القانون - ويتضمن ذلك أجهزة الحاسوب، والمعدات الثانوية، والبرمجيات، والبرامج الثابتة، وسائر الإجراءات المماثلة والخدمات (بما في ذلك خدمات الدعم)، وسائر الموارد ذات الصلة</w:t>
            </w:r>
          </w:p>
        </w:tc>
        <w:tc>
          <w:tcPr>
            <w:tcW w:w="1440" w:type="dxa"/>
            <w:shd w:val="clear" w:color="auto" w:fill="auto"/>
            <w:noWrap/>
            <w:hideMark/>
          </w:tcPr>
          <w:p w14:paraId="5B324AD0"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36CEF4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تكنولوجيا المعلومات</w:t>
            </w:r>
          </w:p>
        </w:tc>
      </w:tr>
      <w:tr w:rsidR="007B5806" w:rsidRPr="007C33D9" w14:paraId="78A89D89" w14:textId="77777777" w:rsidTr="007B5806">
        <w:trPr>
          <w:trHeight w:val="300"/>
        </w:trPr>
        <w:tc>
          <w:tcPr>
            <w:tcW w:w="2160" w:type="dxa"/>
            <w:shd w:val="clear" w:color="auto" w:fill="auto"/>
            <w:noWrap/>
            <w:hideMark/>
          </w:tcPr>
          <w:p w14:paraId="00E7B64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initiator</w:t>
            </w:r>
          </w:p>
        </w:tc>
        <w:tc>
          <w:tcPr>
            <w:tcW w:w="1440" w:type="dxa"/>
            <w:shd w:val="clear" w:color="auto" w:fill="auto"/>
            <w:noWrap/>
            <w:hideMark/>
          </w:tcPr>
          <w:p w14:paraId="54481E0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DB5C046"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IED component that activates (initiates) the detonation of the explosive device (main charge)</w:t>
            </w:r>
          </w:p>
        </w:tc>
        <w:tc>
          <w:tcPr>
            <w:tcW w:w="3600" w:type="dxa"/>
            <w:shd w:val="clear" w:color="auto" w:fill="auto"/>
            <w:noWrap/>
            <w:hideMark/>
          </w:tcPr>
          <w:p w14:paraId="709E23C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جزء من مكونات الجهاز المتفجر المرتجل الذي يقوم بتفعيل (البدء) </w:t>
            </w:r>
            <w:proofErr w:type="spellStart"/>
            <w:r w:rsidRPr="007C33D9">
              <w:rPr>
                <w:rFonts w:eastAsia="Times New Roman"/>
                <w:color w:val="000000"/>
                <w:rtl/>
              </w:rPr>
              <w:t>الإنفجار</w:t>
            </w:r>
            <w:proofErr w:type="spellEnd"/>
            <w:r w:rsidRPr="007C33D9">
              <w:rPr>
                <w:rFonts w:eastAsia="Times New Roman"/>
                <w:color w:val="000000"/>
                <w:rtl/>
              </w:rPr>
              <w:t xml:space="preserve"> داخل الجهاز المتفجر (الشحنة المتفجرة الرئيسية)</w:t>
            </w:r>
          </w:p>
        </w:tc>
        <w:tc>
          <w:tcPr>
            <w:tcW w:w="1440" w:type="dxa"/>
            <w:shd w:val="clear" w:color="auto" w:fill="auto"/>
            <w:noWrap/>
            <w:hideMark/>
          </w:tcPr>
          <w:p w14:paraId="7DCF8E4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E92969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البادئ</w:t>
            </w:r>
          </w:p>
        </w:tc>
      </w:tr>
      <w:tr w:rsidR="007B5806" w:rsidRPr="007C33D9" w14:paraId="1699EE05" w14:textId="77777777" w:rsidTr="007B5806">
        <w:trPr>
          <w:trHeight w:val="300"/>
        </w:trPr>
        <w:tc>
          <w:tcPr>
            <w:tcW w:w="2160" w:type="dxa"/>
            <w:shd w:val="clear" w:color="auto" w:fill="auto"/>
            <w:noWrap/>
            <w:hideMark/>
          </w:tcPr>
          <w:p w14:paraId="77B079D1"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insider threat</w:t>
            </w:r>
          </w:p>
        </w:tc>
        <w:tc>
          <w:tcPr>
            <w:tcW w:w="1440" w:type="dxa"/>
            <w:shd w:val="clear" w:color="auto" w:fill="auto"/>
            <w:noWrap/>
            <w:hideMark/>
          </w:tcPr>
          <w:p w14:paraId="483E3A3E"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64D24FB"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authorized user of a computer system who attacks the system after logging in, exceeds their computer privileges, or violates organizational security policy or laws; may be a dissatisfied employee or a contractor with system access</w:t>
            </w:r>
          </w:p>
        </w:tc>
        <w:tc>
          <w:tcPr>
            <w:tcW w:w="3600" w:type="dxa"/>
            <w:shd w:val="clear" w:color="auto" w:fill="auto"/>
            <w:noWrap/>
            <w:hideMark/>
          </w:tcPr>
          <w:p w14:paraId="28907D76"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تهديد ينشأ عن قيام شخص مصرح له باستخدام نظام </w:t>
            </w:r>
            <w:proofErr w:type="gramStart"/>
            <w:r w:rsidRPr="007C33D9">
              <w:rPr>
                <w:rFonts w:eastAsia="Times New Roman"/>
                <w:color w:val="000000"/>
                <w:rtl/>
              </w:rPr>
              <w:t>الكمبيوتر</w:t>
            </w:r>
            <w:proofErr w:type="gramEnd"/>
            <w:r w:rsidRPr="007C33D9">
              <w:rPr>
                <w:rFonts w:eastAsia="Times New Roman"/>
                <w:color w:val="000000"/>
                <w:rtl/>
              </w:rPr>
              <w:t xml:space="preserve"> بالهجوم على النظام بعد الدخول، ثم يقوم بتجاوز الحدود المسموح بها أو يتعدى القوانين والسياسات الأمنية المعمول بها داخل المنظمة؛ وقد يكون موظف غاضب على الإدارة أو أحد المقاولين المتعاقدين مع المنظمة وله سلطة اختراق النظام</w:t>
            </w:r>
          </w:p>
        </w:tc>
        <w:tc>
          <w:tcPr>
            <w:tcW w:w="1440" w:type="dxa"/>
            <w:shd w:val="clear" w:color="auto" w:fill="auto"/>
            <w:noWrap/>
            <w:hideMark/>
          </w:tcPr>
          <w:p w14:paraId="4A29EE4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5A6446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التهديد الداخلي</w:t>
            </w:r>
          </w:p>
        </w:tc>
      </w:tr>
      <w:tr w:rsidR="007B5806" w:rsidRPr="007C33D9" w14:paraId="5225142F" w14:textId="77777777" w:rsidTr="007B5806">
        <w:trPr>
          <w:trHeight w:val="300"/>
        </w:trPr>
        <w:tc>
          <w:tcPr>
            <w:tcW w:w="2160" w:type="dxa"/>
            <w:shd w:val="clear" w:color="auto" w:fill="auto"/>
            <w:noWrap/>
            <w:hideMark/>
          </w:tcPr>
          <w:p w14:paraId="2A4CF2C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interruption</w:t>
            </w:r>
          </w:p>
        </w:tc>
        <w:tc>
          <w:tcPr>
            <w:tcW w:w="1440" w:type="dxa"/>
            <w:shd w:val="clear" w:color="auto" w:fill="auto"/>
            <w:noWrap/>
            <w:hideMark/>
          </w:tcPr>
          <w:p w14:paraId="650BC37E"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F579FE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successful arrival of the security force at an appropriate location and in sufficient numbers to confront the intruder(s)</w:t>
            </w:r>
          </w:p>
        </w:tc>
        <w:tc>
          <w:tcPr>
            <w:tcW w:w="3600" w:type="dxa"/>
            <w:shd w:val="clear" w:color="auto" w:fill="auto"/>
            <w:noWrap/>
            <w:hideMark/>
          </w:tcPr>
          <w:p w14:paraId="2F9D2BD1"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الوصول الناجح للقوة الأمنية في موقع مناسب وبأعداد كافية لمواجهة العناصر المتسللة</w:t>
            </w:r>
          </w:p>
        </w:tc>
        <w:tc>
          <w:tcPr>
            <w:tcW w:w="1440" w:type="dxa"/>
            <w:shd w:val="clear" w:color="auto" w:fill="auto"/>
            <w:noWrap/>
            <w:hideMark/>
          </w:tcPr>
          <w:p w14:paraId="3BA6C9CB"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898348F" w14:textId="77777777" w:rsidR="007B5806" w:rsidRPr="007C33D9" w:rsidRDefault="007B5806" w:rsidP="007B5806">
            <w:pPr>
              <w:bidi/>
              <w:spacing w:after="0" w:line="240" w:lineRule="auto"/>
              <w:rPr>
                <w:rFonts w:eastAsia="Times New Roman"/>
                <w:b/>
                <w:bCs/>
                <w:color w:val="000000"/>
              </w:rPr>
            </w:pPr>
            <w:proofErr w:type="spellStart"/>
            <w:r w:rsidRPr="007C33D9">
              <w:rPr>
                <w:rFonts w:eastAsia="Times New Roman"/>
                <w:b/>
                <w:bCs/>
                <w:color w:val="000000"/>
                <w:rtl/>
              </w:rPr>
              <w:t>الإعتراض</w:t>
            </w:r>
            <w:proofErr w:type="spellEnd"/>
          </w:p>
        </w:tc>
      </w:tr>
      <w:tr w:rsidR="007B5806" w:rsidRPr="007C33D9" w14:paraId="5C04D6B7" w14:textId="77777777" w:rsidTr="007B5806">
        <w:trPr>
          <w:trHeight w:val="300"/>
        </w:trPr>
        <w:tc>
          <w:tcPr>
            <w:tcW w:w="2160" w:type="dxa"/>
            <w:shd w:val="clear" w:color="auto" w:fill="auto"/>
            <w:noWrap/>
            <w:hideMark/>
          </w:tcPr>
          <w:p w14:paraId="73843EC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intrusion detection</w:t>
            </w:r>
          </w:p>
        </w:tc>
        <w:tc>
          <w:tcPr>
            <w:tcW w:w="1440" w:type="dxa"/>
            <w:shd w:val="clear" w:color="auto" w:fill="auto"/>
            <w:noWrap/>
            <w:hideMark/>
          </w:tcPr>
          <w:p w14:paraId="3369C4E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BB436D2"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process of monitoring the events occurring in a computer system or network and analyzing them for signs of possible incidents</w:t>
            </w:r>
          </w:p>
        </w:tc>
        <w:tc>
          <w:tcPr>
            <w:tcW w:w="3600" w:type="dxa"/>
            <w:shd w:val="clear" w:color="auto" w:fill="auto"/>
            <w:noWrap/>
            <w:hideMark/>
          </w:tcPr>
          <w:p w14:paraId="4BA8131F"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عملية مراقبة الأحداث التي تقع داخل نظام </w:t>
            </w:r>
            <w:proofErr w:type="gramStart"/>
            <w:r w:rsidRPr="007C33D9">
              <w:rPr>
                <w:rFonts w:eastAsia="Times New Roman"/>
                <w:color w:val="000000"/>
                <w:rtl/>
              </w:rPr>
              <w:t>الكمبيوتر</w:t>
            </w:r>
            <w:proofErr w:type="gramEnd"/>
            <w:r w:rsidRPr="007C33D9">
              <w:rPr>
                <w:rFonts w:eastAsia="Times New Roman"/>
                <w:color w:val="000000"/>
                <w:rtl/>
              </w:rPr>
              <w:t xml:space="preserve"> أو الشبكة مع تحليلها بحثاً عن وقائع محتملة</w:t>
            </w:r>
          </w:p>
        </w:tc>
        <w:tc>
          <w:tcPr>
            <w:tcW w:w="1440" w:type="dxa"/>
            <w:shd w:val="clear" w:color="auto" w:fill="auto"/>
            <w:noWrap/>
            <w:hideMark/>
          </w:tcPr>
          <w:p w14:paraId="09F2576B"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1105E77"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رصد التسلل</w:t>
            </w:r>
          </w:p>
        </w:tc>
      </w:tr>
      <w:tr w:rsidR="007B5806" w:rsidRPr="007C33D9" w14:paraId="4907B299" w14:textId="77777777" w:rsidTr="007B5806">
        <w:trPr>
          <w:trHeight w:val="300"/>
        </w:trPr>
        <w:tc>
          <w:tcPr>
            <w:tcW w:w="2160" w:type="dxa"/>
            <w:shd w:val="clear" w:color="auto" w:fill="auto"/>
            <w:noWrap/>
            <w:hideMark/>
          </w:tcPr>
          <w:p w14:paraId="40AE225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intrusion detection and prevention</w:t>
            </w:r>
          </w:p>
        </w:tc>
        <w:tc>
          <w:tcPr>
            <w:tcW w:w="1440" w:type="dxa"/>
            <w:shd w:val="clear" w:color="auto" w:fill="auto"/>
            <w:noWrap/>
            <w:hideMark/>
          </w:tcPr>
          <w:p w14:paraId="73693B99"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720596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process of monitoring the events occurring in a computer system or network, analyzing them for signs of possible incidents, and attempting to stop detected possible incidents</w:t>
            </w:r>
          </w:p>
        </w:tc>
        <w:tc>
          <w:tcPr>
            <w:tcW w:w="3600" w:type="dxa"/>
            <w:shd w:val="clear" w:color="auto" w:fill="auto"/>
            <w:noWrap/>
            <w:hideMark/>
          </w:tcPr>
          <w:p w14:paraId="1F1302AA"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عملية مراقبة الأحداث التي تقع داخل نظام </w:t>
            </w:r>
            <w:proofErr w:type="gramStart"/>
            <w:r w:rsidRPr="007C33D9">
              <w:rPr>
                <w:rFonts w:eastAsia="Times New Roman"/>
                <w:color w:val="000000"/>
                <w:rtl/>
              </w:rPr>
              <w:t>الكمبيوتر</w:t>
            </w:r>
            <w:proofErr w:type="gramEnd"/>
            <w:r w:rsidRPr="007C33D9">
              <w:rPr>
                <w:rFonts w:eastAsia="Times New Roman"/>
                <w:color w:val="000000"/>
                <w:rtl/>
              </w:rPr>
              <w:t xml:space="preserve"> أو الشبكة مع تحليلها بحثاً عن وقائع محتملة ومحاولة إيقاف عمليات التسلل المحتملة</w:t>
            </w:r>
          </w:p>
        </w:tc>
        <w:tc>
          <w:tcPr>
            <w:tcW w:w="1440" w:type="dxa"/>
            <w:shd w:val="clear" w:color="auto" w:fill="auto"/>
            <w:noWrap/>
            <w:hideMark/>
          </w:tcPr>
          <w:p w14:paraId="3759EE5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019CE3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رصد ومنع التسلل</w:t>
            </w:r>
          </w:p>
        </w:tc>
      </w:tr>
      <w:tr w:rsidR="007B5806" w:rsidRPr="007C33D9" w14:paraId="1D74BE24" w14:textId="77777777" w:rsidTr="007B5806">
        <w:trPr>
          <w:trHeight w:val="300"/>
        </w:trPr>
        <w:tc>
          <w:tcPr>
            <w:tcW w:w="2160" w:type="dxa"/>
            <w:shd w:val="clear" w:color="auto" w:fill="auto"/>
            <w:noWrap/>
            <w:hideMark/>
          </w:tcPr>
          <w:p w14:paraId="475B6309"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intrusion detection and prevention system</w:t>
            </w:r>
          </w:p>
        </w:tc>
        <w:tc>
          <w:tcPr>
            <w:tcW w:w="1440" w:type="dxa"/>
            <w:shd w:val="clear" w:color="auto" w:fill="auto"/>
            <w:noWrap/>
            <w:hideMark/>
          </w:tcPr>
          <w:p w14:paraId="17F326B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621EBA9"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Software that has all the capabilities of an intrusion detection system and can also attempt to stop possible incidents</w:t>
            </w:r>
          </w:p>
        </w:tc>
        <w:tc>
          <w:tcPr>
            <w:tcW w:w="3600" w:type="dxa"/>
            <w:shd w:val="clear" w:color="auto" w:fill="auto"/>
            <w:noWrap/>
            <w:hideMark/>
          </w:tcPr>
          <w:p w14:paraId="3E5AABC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مجموعة برمجيات لها جميع الإمكانات الخاصة بنظام رصد المتسللين ويمكن أيضاً محاولة إيقاف عمليات التسلل المحتملة</w:t>
            </w:r>
          </w:p>
        </w:tc>
        <w:tc>
          <w:tcPr>
            <w:tcW w:w="1440" w:type="dxa"/>
            <w:shd w:val="clear" w:color="auto" w:fill="auto"/>
            <w:noWrap/>
            <w:hideMark/>
          </w:tcPr>
          <w:p w14:paraId="377CD506"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B0517F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نظام رصد ومنع التسلل</w:t>
            </w:r>
          </w:p>
        </w:tc>
      </w:tr>
      <w:tr w:rsidR="007B5806" w:rsidRPr="007C33D9" w14:paraId="01F52309" w14:textId="77777777" w:rsidTr="007B5806">
        <w:trPr>
          <w:trHeight w:val="300"/>
        </w:trPr>
        <w:tc>
          <w:tcPr>
            <w:tcW w:w="2160" w:type="dxa"/>
            <w:shd w:val="clear" w:color="auto" w:fill="auto"/>
            <w:noWrap/>
            <w:hideMark/>
          </w:tcPr>
          <w:p w14:paraId="22AF1E0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intrusion detection system</w:t>
            </w:r>
          </w:p>
        </w:tc>
        <w:tc>
          <w:tcPr>
            <w:tcW w:w="1440" w:type="dxa"/>
            <w:shd w:val="clear" w:color="auto" w:fill="auto"/>
            <w:noWrap/>
            <w:hideMark/>
          </w:tcPr>
          <w:p w14:paraId="331FE02A"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8E77B2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Software that automates the intrusion detection process; may or may not be detectible to the intruder</w:t>
            </w:r>
          </w:p>
        </w:tc>
        <w:tc>
          <w:tcPr>
            <w:tcW w:w="3600" w:type="dxa"/>
            <w:shd w:val="clear" w:color="auto" w:fill="auto"/>
            <w:noWrap/>
            <w:hideMark/>
          </w:tcPr>
          <w:p w14:paraId="136B92F5"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برنامج </w:t>
            </w:r>
            <w:proofErr w:type="gramStart"/>
            <w:r w:rsidRPr="007C33D9">
              <w:rPr>
                <w:rFonts w:eastAsia="Times New Roman"/>
                <w:color w:val="000000"/>
                <w:rtl/>
              </w:rPr>
              <w:t>كمبيوتر</w:t>
            </w:r>
            <w:proofErr w:type="gramEnd"/>
            <w:r w:rsidRPr="007C33D9">
              <w:rPr>
                <w:rFonts w:eastAsia="Times New Roman"/>
                <w:color w:val="000000"/>
                <w:rtl/>
              </w:rPr>
              <w:t xml:space="preserve"> يقوم بعمليات رصد التسلل بطريقة تلقائية؛ قد يكون أو لا يكون معروفاً لدى العنصر الذي يحاول التسلل</w:t>
            </w:r>
          </w:p>
        </w:tc>
        <w:tc>
          <w:tcPr>
            <w:tcW w:w="1440" w:type="dxa"/>
            <w:shd w:val="clear" w:color="auto" w:fill="auto"/>
            <w:noWrap/>
            <w:hideMark/>
          </w:tcPr>
          <w:p w14:paraId="20F17F0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BA3B21E"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نظام كشف التسلل</w:t>
            </w:r>
          </w:p>
        </w:tc>
      </w:tr>
      <w:tr w:rsidR="007B5806" w:rsidRPr="007C33D9" w14:paraId="0AD7621A" w14:textId="77777777" w:rsidTr="007B5806">
        <w:trPr>
          <w:trHeight w:val="300"/>
        </w:trPr>
        <w:tc>
          <w:tcPr>
            <w:tcW w:w="2160" w:type="dxa"/>
            <w:shd w:val="clear" w:color="auto" w:fill="auto"/>
            <w:noWrap/>
            <w:hideMark/>
          </w:tcPr>
          <w:p w14:paraId="344DC6B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intrusion prevention</w:t>
            </w:r>
          </w:p>
        </w:tc>
        <w:tc>
          <w:tcPr>
            <w:tcW w:w="1440" w:type="dxa"/>
            <w:shd w:val="clear" w:color="auto" w:fill="auto"/>
            <w:noWrap/>
            <w:hideMark/>
          </w:tcPr>
          <w:p w14:paraId="26CE42E4"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1E8E37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See intrusion detection and prevention</w:t>
            </w:r>
          </w:p>
        </w:tc>
        <w:tc>
          <w:tcPr>
            <w:tcW w:w="3600" w:type="dxa"/>
            <w:shd w:val="clear" w:color="auto" w:fill="auto"/>
            <w:noWrap/>
            <w:hideMark/>
          </w:tcPr>
          <w:p w14:paraId="6E6B46BC"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أنظر رصد ومنع التسلل</w:t>
            </w:r>
          </w:p>
        </w:tc>
        <w:tc>
          <w:tcPr>
            <w:tcW w:w="1440" w:type="dxa"/>
            <w:shd w:val="clear" w:color="auto" w:fill="auto"/>
            <w:noWrap/>
            <w:hideMark/>
          </w:tcPr>
          <w:p w14:paraId="248599D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46B137D"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منع التسلل</w:t>
            </w:r>
          </w:p>
        </w:tc>
      </w:tr>
      <w:tr w:rsidR="007B5806" w:rsidRPr="007C33D9" w14:paraId="4896607E" w14:textId="77777777" w:rsidTr="007B5806">
        <w:trPr>
          <w:trHeight w:val="300"/>
        </w:trPr>
        <w:tc>
          <w:tcPr>
            <w:tcW w:w="2160" w:type="dxa"/>
            <w:shd w:val="clear" w:color="auto" w:fill="auto"/>
            <w:noWrap/>
            <w:hideMark/>
          </w:tcPr>
          <w:p w14:paraId="03DB421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intrusion prevention system</w:t>
            </w:r>
          </w:p>
        </w:tc>
        <w:tc>
          <w:tcPr>
            <w:tcW w:w="1440" w:type="dxa"/>
            <w:shd w:val="clear" w:color="auto" w:fill="auto"/>
            <w:noWrap/>
            <w:hideMark/>
          </w:tcPr>
          <w:p w14:paraId="0D81FF49"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F2B5216"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See intrusion detection and prevention system</w:t>
            </w:r>
          </w:p>
        </w:tc>
        <w:tc>
          <w:tcPr>
            <w:tcW w:w="3600" w:type="dxa"/>
            <w:shd w:val="clear" w:color="auto" w:fill="auto"/>
            <w:noWrap/>
            <w:hideMark/>
          </w:tcPr>
          <w:p w14:paraId="4BF8E32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أنظر نظام رصد ومنع التسلل</w:t>
            </w:r>
          </w:p>
        </w:tc>
        <w:tc>
          <w:tcPr>
            <w:tcW w:w="1440" w:type="dxa"/>
            <w:shd w:val="clear" w:color="auto" w:fill="auto"/>
            <w:noWrap/>
            <w:hideMark/>
          </w:tcPr>
          <w:p w14:paraId="262FC5E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1C83498"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نظام كشف التسلل</w:t>
            </w:r>
          </w:p>
        </w:tc>
      </w:tr>
      <w:tr w:rsidR="007B5806" w:rsidRPr="007C33D9" w14:paraId="083D800E" w14:textId="77777777" w:rsidTr="007B5806">
        <w:trPr>
          <w:trHeight w:val="300"/>
        </w:trPr>
        <w:tc>
          <w:tcPr>
            <w:tcW w:w="2160" w:type="dxa"/>
            <w:shd w:val="clear" w:color="auto" w:fill="auto"/>
            <w:noWrap/>
            <w:hideMark/>
          </w:tcPr>
          <w:p w14:paraId="4C00A13B"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kilogram</w:t>
            </w:r>
          </w:p>
        </w:tc>
        <w:tc>
          <w:tcPr>
            <w:tcW w:w="1440" w:type="dxa"/>
            <w:shd w:val="clear" w:color="auto" w:fill="auto"/>
            <w:noWrap/>
            <w:hideMark/>
          </w:tcPr>
          <w:p w14:paraId="4F363E0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Kg</w:t>
            </w:r>
          </w:p>
        </w:tc>
        <w:tc>
          <w:tcPr>
            <w:tcW w:w="3600" w:type="dxa"/>
            <w:shd w:val="clear" w:color="auto" w:fill="auto"/>
            <w:noWrap/>
            <w:hideMark/>
          </w:tcPr>
          <w:p w14:paraId="6EF5A9F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kilogram</w:t>
            </w:r>
          </w:p>
        </w:tc>
        <w:tc>
          <w:tcPr>
            <w:tcW w:w="3600" w:type="dxa"/>
            <w:shd w:val="clear" w:color="auto" w:fill="auto"/>
            <w:noWrap/>
            <w:hideMark/>
          </w:tcPr>
          <w:p w14:paraId="61856CDF"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كيلو غرام</w:t>
            </w:r>
          </w:p>
        </w:tc>
        <w:tc>
          <w:tcPr>
            <w:tcW w:w="1440" w:type="dxa"/>
            <w:shd w:val="clear" w:color="auto" w:fill="auto"/>
            <w:noWrap/>
            <w:hideMark/>
          </w:tcPr>
          <w:p w14:paraId="56AE9D9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Kg</w:t>
            </w:r>
          </w:p>
        </w:tc>
        <w:tc>
          <w:tcPr>
            <w:tcW w:w="2160" w:type="dxa"/>
            <w:shd w:val="clear" w:color="auto" w:fill="auto"/>
            <w:noWrap/>
            <w:hideMark/>
          </w:tcPr>
          <w:p w14:paraId="03E1CB36"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كيلو غرام</w:t>
            </w:r>
          </w:p>
        </w:tc>
      </w:tr>
      <w:tr w:rsidR="007B5806" w:rsidRPr="007C33D9" w14:paraId="1E6565AE" w14:textId="77777777" w:rsidTr="007B5806">
        <w:trPr>
          <w:trHeight w:val="300"/>
        </w:trPr>
        <w:tc>
          <w:tcPr>
            <w:tcW w:w="2160" w:type="dxa"/>
            <w:shd w:val="clear" w:color="auto" w:fill="auto"/>
            <w:noWrap/>
            <w:hideMark/>
          </w:tcPr>
          <w:p w14:paraId="3A665DB9"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kilohertz</w:t>
            </w:r>
          </w:p>
        </w:tc>
        <w:tc>
          <w:tcPr>
            <w:tcW w:w="1440" w:type="dxa"/>
            <w:shd w:val="clear" w:color="auto" w:fill="auto"/>
            <w:noWrap/>
            <w:hideMark/>
          </w:tcPr>
          <w:p w14:paraId="0426445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kHz</w:t>
            </w:r>
          </w:p>
        </w:tc>
        <w:tc>
          <w:tcPr>
            <w:tcW w:w="3600" w:type="dxa"/>
            <w:shd w:val="clear" w:color="auto" w:fill="auto"/>
            <w:noWrap/>
            <w:hideMark/>
          </w:tcPr>
          <w:p w14:paraId="4B19B2E6"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Kilohertz</w:t>
            </w:r>
          </w:p>
        </w:tc>
        <w:tc>
          <w:tcPr>
            <w:tcW w:w="3600" w:type="dxa"/>
            <w:shd w:val="clear" w:color="auto" w:fill="auto"/>
            <w:noWrap/>
            <w:hideMark/>
          </w:tcPr>
          <w:p w14:paraId="33F0F8D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كيلو هيرتز</w:t>
            </w:r>
          </w:p>
        </w:tc>
        <w:tc>
          <w:tcPr>
            <w:tcW w:w="1440" w:type="dxa"/>
            <w:shd w:val="clear" w:color="auto" w:fill="auto"/>
            <w:noWrap/>
            <w:hideMark/>
          </w:tcPr>
          <w:p w14:paraId="3E8767C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kHz</w:t>
            </w:r>
          </w:p>
        </w:tc>
        <w:tc>
          <w:tcPr>
            <w:tcW w:w="2160" w:type="dxa"/>
            <w:shd w:val="clear" w:color="auto" w:fill="auto"/>
            <w:noWrap/>
            <w:hideMark/>
          </w:tcPr>
          <w:p w14:paraId="6BA46FE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كيلو هيرتز</w:t>
            </w:r>
          </w:p>
        </w:tc>
      </w:tr>
      <w:tr w:rsidR="007B5806" w:rsidRPr="007C33D9" w14:paraId="216AF45D" w14:textId="77777777" w:rsidTr="007B5806">
        <w:trPr>
          <w:trHeight w:val="300"/>
        </w:trPr>
        <w:tc>
          <w:tcPr>
            <w:tcW w:w="2160" w:type="dxa"/>
            <w:shd w:val="clear" w:color="auto" w:fill="auto"/>
            <w:noWrap/>
            <w:hideMark/>
          </w:tcPr>
          <w:p w14:paraId="32FA94C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large vehicle-borne improvised explosive device</w:t>
            </w:r>
          </w:p>
        </w:tc>
        <w:tc>
          <w:tcPr>
            <w:tcW w:w="1440" w:type="dxa"/>
            <w:shd w:val="clear" w:color="auto" w:fill="auto"/>
            <w:noWrap/>
            <w:hideMark/>
          </w:tcPr>
          <w:p w14:paraId="5229BA6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LVBIED</w:t>
            </w:r>
          </w:p>
        </w:tc>
        <w:tc>
          <w:tcPr>
            <w:tcW w:w="3600" w:type="dxa"/>
            <w:shd w:val="clear" w:color="auto" w:fill="auto"/>
            <w:noWrap/>
            <w:hideMark/>
          </w:tcPr>
          <w:p w14:paraId="25E1F3A4"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Use of a large vehicle as the container and delivery method for an IED</w:t>
            </w:r>
          </w:p>
        </w:tc>
        <w:tc>
          <w:tcPr>
            <w:tcW w:w="3600" w:type="dxa"/>
            <w:shd w:val="clear" w:color="auto" w:fill="auto"/>
            <w:noWrap/>
            <w:hideMark/>
          </w:tcPr>
          <w:p w14:paraId="684CA0B5"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استخدام مركبات ضخمة كحاويات للأجهزة المتفجرة المرتجلة وكوسيلة لتوصيلها</w:t>
            </w:r>
          </w:p>
        </w:tc>
        <w:tc>
          <w:tcPr>
            <w:tcW w:w="1440" w:type="dxa"/>
            <w:shd w:val="clear" w:color="auto" w:fill="auto"/>
            <w:noWrap/>
            <w:hideMark/>
          </w:tcPr>
          <w:p w14:paraId="5EBE408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LVBIED</w:t>
            </w:r>
          </w:p>
        </w:tc>
        <w:tc>
          <w:tcPr>
            <w:tcW w:w="2160" w:type="dxa"/>
            <w:shd w:val="clear" w:color="auto" w:fill="auto"/>
            <w:noWrap/>
            <w:hideMark/>
          </w:tcPr>
          <w:p w14:paraId="43BF6AA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الأجهزة المتفجرة المرتجلة المحمولة على مركبات ضخمة</w:t>
            </w:r>
          </w:p>
        </w:tc>
      </w:tr>
      <w:tr w:rsidR="007B5806" w:rsidRPr="007C33D9" w14:paraId="4A226B1C" w14:textId="77777777" w:rsidTr="007B5806">
        <w:trPr>
          <w:trHeight w:val="300"/>
        </w:trPr>
        <w:tc>
          <w:tcPr>
            <w:tcW w:w="2160" w:type="dxa"/>
            <w:shd w:val="clear" w:color="auto" w:fill="auto"/>
            <w:noWrap/>
            <w:hideMark/>
          </w:tcPr>
          <w:p w14:paraId="1F2D650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limited scope performance testing</w:t>
            </w:r>
          </w:p>
        </w:tc>
        <w:tc>
          <w:tcPr>
            <w:tcW w:w="1440" w:type="dxa"/>
            <w:shd w:val="clear" w:color="auto" w:fill="auto"/>
            <w:noWrap/>
            <w:hideMark/>
          </w:tcPr>
          <w:p w14:paraId="2B88D3A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B2D2E1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physical protection system is likely to have many components that would require large-scale performance testing, which may be unrealistic. Instead, a limited scope performance testing can be conducted on only specific elements of a physical protection system</w:t>
            </w:r>
          </w:p>
        </w:tc>
        <w:tc>
          <w:tcPr>
            <w:tcW w:w="3600" w:type="dxa"/>
            <w:shd w:val="clear" w:color="auto" w:fill="auto"/>
            <w:noWrap/>
            <w:hideMark/>
          </w:tcPr>
          <w:p w14:paraId="4F4D586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من المرجح أن يشتمل نظام الحماية المادية على الكثير من المكونات التي تتطلب اختبارات واسعة النطاق والتي قد يكون إجراءها غير واقعيا. وبدلا من ذلك يمكن إجراء اختبارات أداء محدودة النطاق تشمل فقط عناصر محددة من نظام الحماية المادية.</w:t>
            </w:r>
          </w:p>
        </w:tc>
        <w:tc>
          <w:tcPr>
            <w:tcW w:w="1440" w:type="dxa"/>
            <w:shd w:val="clear" w:color="auto" w:fill="auto"/>
            <w:noWrap/>
            <w:hideMark/>
          </w:tcPr>
          <w:p w14:paraId="65456EE3"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3BBE3E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اختبار أداء ذو مجال محدود</w:t>
            </w:r>
          </w:p>
        </w:tc>
      </w:tr>
      <w:tr w:rsidR="007B5806" w:rsidRPr="007C33D9" w14:paraId="7EE5CF6C" w14:textId="77777777" w:rsidTr="007B5806">
        <w:trPr>
          <w:trHeight w:val="300"/>
        </w:trPr>
        <w:tc>
          <w:tcPr>
            <w:tcW w:w="2160" w:type="dxa"/>
            <w:shd w:val="clear" w:color="auto" w:fill="auto"/>
            <w:noWrap/>
            <w:hideMark/>
          </w:tcPr>
          <w:p w14:paraId="2573DD6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line-of-sight</w:t>
            </w:r>
          </w:p>
        </w:tc>
        <w:tc>
          <w:tcPr>
            <w:tcW w:w="1440" w:type="dxa"/>
            <w:shd w:val="clear" w:color="auto" w:fill="auto"/>
            <w:noWrap/>
            <w:hideMark/>
          </w:tcPr>
          <w:p w14:paraId="69007B4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287012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expression used to describe a straight line or unobscured view between the source of an explosion and its target</w:t>
            </w:r>
          </w:p>
        </w:tc>
        <w:tc>
          <w:tcPr>
            <w:tcW w:w="3600" w:type="dxa"/>
            <w:shd w:val="clear" w:color="auto" w:fill="auto"/>
            <w:noWrap/>
            <w:hideMark/>
          </w:tcPr>
          <w:p w14:paraId="204325C2"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خط الرؤية هو تعبير مستخدم لوصف خط مستقيم أو رؤية غير مبهمة بين مصدر </w:t>
            </w:r>
            <w:proofErr w:type="spellStart"/>
            <w:r w:rsidRPr="007C33D9">
              <w:rPr>
                <w:rFonts w:eastAsia="Times New Roman"/>
                <w:color w:val="000000"/>
                <w:rtl/>
              </w:rPr>
              <w:t>الإنفجار</w:t>
            </w:r>
            <w:proofErr w:type="spellEnd"/>
            <w:r w:rsidRPr="007C33D9">
              <w:rPr>
                <w:rFonts w:eastAsia="Times New Roman"/>
                <w:color w:val="000000"/>
                <w:rtl/>
              </w:rPr>
              <w:t xml:space="preserve"> والغرض المستهدف</w:t>
            </w:r>
          </w:p>
        </w:tc>
        <w:tc>
          <w:tcPr>
            <w:tcW w:w="1440" w:type="dxa"/>
            <w:shd w:val="clear" w:color="auto" w:fill="auto"/>
            <w:noWrap/>
            <w:hideMark/>
          </w:tcPr>
          <w:p w14:paraId="4B0C43FD"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09929D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خط البصر</w:t>
            </w:r>
          </w:p>
        </w:tc>
      </w:tr>
      <w:tr w:rsidR="007B5806" w:rsidRPr="007C33D9" w14:paraId="6B638A59" w14:textId="77777777" w:rsidTr="007B5806">
        <w:trPr>
          <w:trHeight w:val="300"/>
        </w:trPr>
        <w:tc>
          <w:tcPr>
            <w:tcW w:w="2160" w:type="dxa"/>
            <w:shd w:val="clear" w:color="auto" w:fill="auto"/>
            <w:noWrap/>
            <w:hideMark/>
          </w:tcPr>
          <w:p w14:paraId="515371A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main charge</w:t>
            </w:r>
          </w:p>
        </w:tc>
        <w:tc>
          <w:tcPr>
            <w:tcW w:w="1440" w:type="dxa"/>
            <w:shd w:val="clear" w:color="auto" w:fill="auto"/>
            <w:noWrap/>
            <w:hideMark/>
          </w:tcPr>
          <w:p w14:paraId="093BBA42"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3653E5B"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primary explosive substance of an improvised explosive device</w:t>
            </w:r>
          </w:p>
        </w:tc>
        <w:tc>
          <w:tcPr>
            <w:tcW w:w="3600" w:type="dxa"/>
            <w:shd w:val="clear" w:color="auto" w:fill="auto"/>
            <w:noWrap/>
            <w:hideMark/>
          </w:tcPr>
          <w:p w14:paraId="6E1614BA"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هي المادة الرئيسية الناسفة ضمن المكونات الأساسية للأجهزة المتفجرة المرتجلة</w:t>
            </w:r>
          </w:p>
        </w:tc>
        <w:tc>
          <w:tcPr>
            <w:tcW w:w="1440" w:type="dxa"/>
            <w:shd w:val="clear" w:color="auto" w:fill="auto"/>
            <w:noWrap/>
            <w:hideMark/>
          </w:tcPr>
          <w:p w14:paraId="6026247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251137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الشحنة الرئيسية</w:t>
            </w:r>
          </w:p>
        </w:tc>
      </w:tr>
      <w:tr w:rsidR="007B5806" w:rsidRPr="007C33D9" w14:paraId="451DCF8A" w14:textId="77777777" w:rsidTr="007B5806">
        <w:trPr>
          <w:trHeight w:val="300"/>
        </w:trPr>
        <w:tc>
          <w:tcPr>
            <w:tcW w:w="2160" w:type="dxa"/>
            <w:shd w:val="clear" w:color="auto" w:fill="auto"/>
            <w:noWrap/>
            <w:hideMark/>
          </w:tcPr>
          <w:p w14:paraId="64BF704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marginal</w:t>
            </w:r>
          </w:p>
        </w:tc>
        <w:tc>
          <w:tcPr>
            <w:tcW w:w="1440" w:type="dxa"/>
            <w:shd w:val="clear" w:color="auto" w:fill="auto"/>
            <w:noWrap/>
            <w:hideMark/>
          </w:tcPr>
          <w:p w14:paraId="1F43BFBF"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51FB55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rating used in evaluating effectiveness of a physical protection system; means that the system only partially meets identified protection needs or provides questionable assurance that those protection needs will be met should they arise</w:t>
            </w:r>
          </w:p>
        </w:tc>
        <w:tc>
          <w:tcPr>
            <w:tcW w:w="3600" w:type="dxa"/>
            <w:shd w:val="clear" w:color="auto" w:fill="auto"/>
            <w:noWrap/>
            <w:hideMark/>
          </w:tcPr>
          <w:p w14:paraId="2C7C91DD"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التقدير المستخدم في تقييم فعالية نظام الحماية المادية - ويعني أن النظام لا يسدد إلا جزء من </w:t>
            </w:r>
            <w:proofErr w:type="spellStart"/>
            <w:r w:rsidRPr="007C33D9">
              <w:rPr>
                <w:rFonts w:eastAsia="Times New Roman"/>
                <w:color w:val="000000"/>
                <w:rtl/>
              </w:rPr>
              <w:t>الإحتياجات</w:t>
            </w:r>
            <w:proofErr w:type="spellEnd"/>
            <w:r w:rsidRPr="007C33D9">
              <w:rPr>
                <w:rFonts w:eastAsia="Times New Roman"/>
                <w:color w:val="000000"/>
                <w:rtl/>
              </w:rPr>
              <w:t xml:space="preserve"> الأمنية المحتملة أو يوفر تأكيد مشكوك فيه أن احتياجات الحماية هذه لن يتم التكفل بها إذا نشأت بالفعل</w:t>
            </w:r>
          </w:p>
        </w:tc>
        <w:tc>
          <w:tcPr>
            <w:tcW w:w="1440" w:type="dxa"/>
            <w:shd w:val="clear" w:color="auto" w:fill="auto"/>
            <w:noWrap/>
            <w:hideMark/>
          </w:tcPr>
          <w:p w14:paraId="41F49B2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FF13F7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المعدل الهامشي</w:t>
            </w:r>
          </w:p>
        </w:tc>
      </w:tr>
      <w:tr w:rsidR="007B5806" w:rsidRPr="007C33D9" w14:paraId="13CCBA39" w14:textId="77777777" w:rsidTr="007B5806">
        <w:trPr>
          <w:trHeight w:val="300"/>
        </w:trPr>
        <w:tc>
          <w:tcPr>
            <w:tcW w:w="2160" w:type="dxa"/>
            <w:shd w:val="clear" w:color="auto" w:fill="auto"/>
            <w:noWrap/>
            <w:hideMark/>
          </w:tcPr>
          <w:p w14:paraId="23AFCA4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miles per second</w:t>
            </w:r>
          </w:p>
        </w:tc>
        <w:tc>
          <w:tcPr>
            <w:tcW w:w="1440" w:type="dxa"/>
            <w:shd w:val="clear" w:color="auto" w:fill="auto"/>
            <w:noWrap/>
            <w:hideMark/>
          </w:tcPr>
          <w:p w14:paraId="29EF19C0" w14:textId="77777777" w:rsidR="007B5806" w:rsidRPr="007C33D9" w:rsidRDefault="007B5806" w:rsidP="007B5806">
            <w:pPr>
              <w:spacing w:after="0" w:line="240" w:lineRule="auto"/>
              <w:rPr>
                <w:rFonts w:eastAsia="Times New Roman"/>
                <w:b/>
                <w:bCs/>
                <w:color w:val="000000"/>
              </w:rPr>
            </w:pPr>
            <w:proofErr w:type="spellStart"/>
            <w:r w:rsidRPr="007C33D9">
              <w:rPr>
                <w:rFonts w:eastAsia="Times New Roman"/>
                <w:b/>
                <w:bCs/>
                <w:color w:val="000000"/>
              </w:rPr>
              <w:t>Mps</w:t>
            </w:r>
            <w:proofErr w:type="spellEnd"/>
          </w:p>
        </w:tc>
        <w:tc>
          <w:tcPr>
            <w:tcW w:w="3600" w:type="dxa"/>
            <w:shd w:val="clear" w:color="auto" w:fill="auto"/>
            <w:noWrap/>
            <w:hideMark/>
          </w:tcPr>
          <w:p w14:paraId="54BB9112"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Miles per second</w:t>
            </w:r>
          </w:p>
        </w:tc>
        <w:tc>
          <w:tcPr>
            <w:tcW w:w="3600" w:type="dxa"/>
            <w:shd w:val="clear" w:color="auto" w:fill="auto"/>
            <w:noWrap/>
            <w:hideMark/>
          </w:tcPr>
          <w:p w14:paraId="3AB953D4"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ميل في الثانية</w:t>
            </w:r>
          </w:p>
        </w:tc>
        <w:tc>
          <w:tcPr>
            <w:tcW w:w="1440" w:type="dxa"/>
            <w:shd w:val="clear" w:color="auto" w:fill="auto"/>
            <w:noWrap/>
            <w:hideMark/>
          </w:tcPr>
          <w:p w14:paraId="72D1C241" w14:textId="77777777" w:rsidR="007B5806" w:rsidRPr="007C33D9" w:rsidRDefault="007B5806" w:rsidP="007B5806">
            <w:pPr>
              <w:spacing w:after="0" w:line="240" w:lineRule="auto"/>
              <w:rPr>
                <w:rFonts w:eastAsia="Times New Roman"/>
                <w:b/>
                <w:bCs/>
                <w:color w:val="000000"/>
              </w:rPr>
            </w:pPr>
            <w:proofErr w:type="spellStart"/>
            <w:r w:rsidRPr="007C33D9">
              <w:rPr>
                <w:rFonts w:eastAsia="Times New Roman"/>
                <w:b/>
                <w:bCs/>
                <w:color w:val="000000"/>
              </w:rPr>
              <w:t>Mps</w:t>
            </w:r>
            <w:proofErr w:type="spellEnd"/>
          </w:p>
        </w:tc>
        <w:tc>
          <w:tcPr>
            <w:tcW w:w="2160" w:type="dxa"/>
            <w:shd w:val="clear" w:color="auto" w:fill="auto"/>
            <w:noWrap/>
            <w:hideMark/>
          </w:tcPr>
          <w:p w14:paraId="74163A6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ميل في الثانية</w:t>
            </w:r>
          </w:p>
        </w:tc>
      </w:tr>
      <w:tr w:rsidR="007B5806" w:rsidRPr="007C33D9" w14:paraId="4BACBBCA" w14:textId="77777777" w:rsidTr="007B5806">
        <w:trPr>
          <w:trHeight w:val="300"/>
        </w:trPr>
        <w:tc>
          <w:tcPr>
            <w:tcW w:w="2160" w:type="dxa"/>
            <w:shd w:val="clear" w:color="auto" w:fill="auto"/>
            <w:noWrap/>
            <w:hideMark/>
          </w:tcPr>
          <w:p w14:paraId="3010E6F6"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minimum consequences of component failure</w:t>
            </w:r>
          </w:p>
        </w:tc>
        <w:tc>
          <w:tcPr>
            <w:tcW w:w="1440" w:type="dxa"/>
            <w:shd w:val="clear" w:color="auto" w:fill="auto"/>
            <w:noWrap/>
            <w:hideMark/>
          </w:tcPr>
          <w:p w14:paraId="1379456F"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E69738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characteristic of an effective physical protection system that provides contingency plans so that the system can continue to operate even after a component fails</w:t>
            </w:r>
          </w:p>
        </w:tc>
        <w:tc>
          <w:tcPr>
            <w:tcW w:w="3600" w:type="dxa"/>
            <w:shd w:val="clear" w:color="auto" w:fill="auto"/>
            <w:noWrap/>
            <w:hideMark/>
          </w:tcPr>
          <w:p w14:paraId="1E82422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خاصية لنظام الأمن المادي الفعال تهدف إلى توفير الخطط الطارئة بحيث يتمكن النظام من </w:t>
            </w:r>
            <w:proofErr w:type="spellStart"/>
            <w:r w:rsidRPr="007C33D9">
              <w:rPr>
                <w:rFonts w:eastAsia="Times New Roman"/>
                <w:color w:val="000000"/>
                <w:rtl/>
              </w:rPr>
              <w:t>الإستمرار</w:t>
            </w:r>
            <w:proofErr w:type="spellEnd"/>
            <w:r w:rsidRPr="007C33D9">
              <w:rPr>
                <w:rFonts w:eastAsia="Times New Roman"/>
                <w:color w:val="000000"/>
                <w:rtl/>
              </w:rPr>
              <w:t xml:space="preserve"> في الأداء الوظيفي حتى بعد فشل أحد مكوناته</w:t>
            </w:r>
          </w:p>
        </w:tc>
        <w:tc>
          <w:tcPr>
            <w:tcW w:w="1440" w:type="dxa"/>
            <w:shd w:val="clear" w:color="auto" w:fill="auto"/>
            <w:noWrap/>
            <w:hideMark/>
          </w:tcPr>
          <w:p w14:paraId="0630EE3F"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E30A81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الحد الأدنى لعواقب فشل أحد المكونات</w:t>
            </w:r>
          </w:p>
        </w:tc>
      </w:tr>
      <w:tr w:rsidR="007B5806" w:rsidRPr="007C33D9" w14:paraId="449795EA" w14:textId="77777777" w:rsidTr="007B5806">
        <w:trPr>
          <w:trHeight w:val="300"/>
        </w:trPr>
        <w:tc>
          <w:tcPr>
            <w:tcW w:w="2160" w:type="dxa"/>
            <w:shd w:val="clear" w:color="auto" w:fill="auto"/>
            <w:noWrap/>
            <w:hideMark/>
          </w:tcPr>
          <w:p w14:paraId="3CAD1AE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monostatic microwave sensor</w:t>
            </w:r>
          </w:p>
        </w:tc>
        <w:tc>
          <w:tcPr>
            <w:tcW w:w="1440" w:type="dxa"/>
            <w:shd w:val="clear" w:color="auto" w:fill="auto"/>
            <w:noWrap/>
            <w:hideMark/>
          </w:tcPr>
          <w:p w14:paraId="57ED3C86"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337B426"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electronic device composed of a single antenna that is used to both transmit and receive</w:t>
            </w:r>
          </w:p>
        </w:tc>
        <w:tc>
          <w:tcPr>
            <w:tcW w:w="3600" w:type="dxa"/>
            <w:shd w:val="clear" w:color="auto" w:fill="auto"/>
            <w:noWrap/>
            <w:hideMark/>
          </w:tcPr>
          <w:p w14:paraId="4B06FCF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جهاز الكتروني يتكون من </w:t>
            </w:r>
            <w:proofErr w:type="spellStart"/>
            <w:r w:rsidRPr="007C33D9">
              <w:rPr>
                <w:rFonts w:eastAsia="Times New Roman"/>
                <w:color w:val="000000"/>
                <w:rtl/>
              </w:rPr>
              <w:t>إيريال</w:t>
            </w:r>
            <w:proofErr w:type="spellEnd"/>
            <w:r w:rsidRPr="007C33D9">
              <w:rPr>
                <w:rFonts w:eastAsia="Times New Roman"/>
                <w:color w:val="000000"/>
                <w:rtl/>
              </w:rPr>
              <w:t xml:space="preserve"> فردي يستخدم لأداء وظيفتي الإرسال </w:t>
            </w:r>
            <w:proofErr w:type="spellStart"/>
            <w:r w:rsidRPr="007C33D9">
              <w:rPr>
                <w:rFonts w:eastAsia="Times New Roman"/>
                <w:color w:val="000000"/>
                <w:rtl/>
              </w:rPr>
              <w:t>والإستقبال</w:t>
            </w:r>
            <w:proofErr w:type="spellEnd"/>
          </w:p>
        </w:tc>
        <w:tc>
          <w:tcPr>
            <w:tcW w:w="1440" w:type="dxa"/>
            <w:shd w:val="clear" w:color="auto" w:fill="auto"/>
            <w:noWrap/>
            <w:hideMark/>
          </w:tcPr>
          <w:p w14:paraId="66240797"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F4426F7"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 xml:space="preserve">جهاز </w:t>
            </w:r>
            <w:proofErr w:type="spellStart"/>
            <w:r w:rsidRPr="007C33D9">
              <w:rPr>
                <w:rFonts w:eastAsia="Times New Roman"/>
                <w:b/>
                <w:bCs/>
                <w:color w:val="000000"/>
                <w:rtl/>
              </w:rPr>
              <w:t>الإستشعار</w:t>
            </w:r>
            <w:proofErr w:type="spellEnd"/>
            <w:r w:rsidRPr="007C33D9">
              <w:rPr>
                <w:rFonts w:eastAsia="Times New Roman"/>
                <w:b/>
                <w:bCs/>
                <w:color w:val="000000"/>
                <w:rtl/>
              </w:rPr>
              <w:t xml:space="preserve"> بموجات ميكروويف </w:t>
            </w:r>
            <w:proofErr w:type="spellStart"/>
            <w:r w:rsidRPr="007C33D9">
              <w:rPr>
                <w:rFonts w:eastAsia="Times New Roman"/>
                <w:b/>
                <w:bCs/>
                <w:color w:val="000000"/>
                <w:rtl/>
              </w:rPr>
              <w:t>مونو</w:t>
            </w:r>
            <w:proofErr w:type="spellEnd"/>
            <w:r w:rsidRPr="007C33D9">
              <w:rPr>
                <w:rFonts w:eastAsia="Times New Roman"/>
                <w:b/>
                <w:bCs/>
                <w:color w:val="000000"/>
                <w:rtl/>
              </w:rPr>
              <w:t xml:space="preserve"> </w:t>
            </w:r>
            <w:proofErr w:type="spellStart"/>
            <w:r w:rsidRPr="007C33D9">
              <w:rPr>
                <w:rFonts w:eastAsia="Times New Roman"/>
                <w:b/>
                <w:bCs/>
                <w:color w:val="000000"/>
                <w:rtl/>
              </w:rPr>
              <w:t>ستاتيكية</w:t>
            </w:r>
            <w:proofErr w:type="spellEnd"/>
          </w:p>
        </w:tc>
      </w:tr>
      <w:tr w:rsidR="007B5806" w:rsidRPr="007C33D9" w14:paraId="36A1179B" w14:textId="77777777" w:rsidTr="007B5806">
        <w:trPr>
          <w:trHeight w:val="300"/>
        </w:trPr>
        <w:tc>
          <w:tcPr>
            <w:tcW w:w="2160" w:type="dxa"/>
            <w:shd w:val="clear" w:color="auto" w:fill="auto"/>
            <w:noWrap/>
            <w:hideMark/>
          </w:tcPr>
          <w:p w14:paraId="065F1717"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network</w:t>
            </w:r>
          </w:p>
        </w:tc>
        <w:tc>
          <w:tcPr>
            <w:tcW w:w="1440" w:type="dxa"/>
            <w:shd w:val="clear" w:color="auto" w:fill="auto"/>
            <w:noWrap/>
            <w:hideMark/>
          </w:tcPr>
          <w:p w14:paraId="0905821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35D1AD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A group of electronic components that share information or interact with each other </w:t>
            </w:r>
            <w:proofErr w:type="gramStart"/>
            <w:r w:rsidRPr="007C33D9">
              <w:rPr>
                <w:rFonts w:eastAsia="Times New Roman"/>
                <w:color w:val="000000"/>
              </w:rPr>
              <w:t>in order to</w:t>
            </w:r>
            <w:proofErr w:type="gramEnd"/>
            <w:r w:rsidRPr="007C33D9">
              <w:rPr>
                <w:rFonts w:eastAsia="Times New Roman"/>
                <w:color w:val="000000"/>
              </w:rPr>
              <w:t xml:space="preserve"> perform a function</w:t>
            </w:r>
          </w:p>
        </w:tc>
        <w:tc>
          <w:tcPr>
            <w:tcW w:w="3600" w:type="dxa"/>
            <w:shd w:val="clear" w:color="auto" w:fill="auto"/>
            <w:noWrap/>
            <w:hideMark/>
          </w:tcPr>
          <w:p w14:paraId="15DBFD42"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مجموعة مكونات إلكترونية تشارك المعلومات أو تتفاعل مع بعضها البعض بغرض القيام بوظيفة معينة</w:t>
            </w:r>
          </w:p>
        </w:tc>
        <w:tc>
          <w:tcPr>
            <w:tcW w:w="1440" w:type="dxa"/>
            <w:shd w:val="clear" w:color="auto" w:fill="auto"/>
            <w:noWrap/>
            <w:hideMark/>
          </w:tcPr>
          <w:p w14:paraId="338F7B35"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2767CDE"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الشبكة</w:t>
            </w:r>
          </w:p>
        </w:tc>
      </w:tr>
      <w:tr w:rsidR="007B5806" w:rsidRPr="007C33D9" w14:paraId="5F9D6DED" w14:textId="77777777" w:rsidTr="007B5806">
        <w:trPr>
          <w:trHeight w:val="300"/>
        </w:trPr>
        <w:tc>
          <w:tcPr>
            <w:tcW w:w="2160" w:type="dxa"/>
            <w:shd w:val="clear" w:color="auto" w:fill="auto"/>
            <w:noWrap/>
            <w:hideMark/>
          </w:tcPr>
          <w:p w14:paraId="5D136FAC"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neutralization</w:t>
            </w:r>
          </w:p>
        </w:tc>
        <w:tc>
          <w:tcPr>
            <w:tcW w:w="1440" w:type="dxa"/>
            <w:shd w:val="clear" w:color="auto" w:fill="auto"/>
            <w:noWrap/>
            <w:hideMark/>
          </w:tcPr>
          <w:p w14:paraId="4DAFF592"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26CC4F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The point at which intruders’ actions are </w:t>
            </w:r>
            <w:proofErr w:type="gramStart"/>
            <w:r w:rsidRPr="007C33D9">
              <w:rPr>
                <w:rFonts w:eastAsia="Times New Roman"/>
                <w:color w:val="000000"/>
              </w:rPr>
              <w:t>stopped</w:t>
            </w:r>
            <w:proofErr w:type="gramEnd"/>
            <w:r w:rsidRPr="007C33D9">
              <w:rPr>
                <w:rFonts w:eastAsia="Times New Roman"/>
                <w:color w:val="000000"/>
              </w:rPr>
              <w:t xml:space="preserve"> and intruders are no longer able to fight against the security force</w:t>
            </w:r>
          </w:p>
        </w:tc>
        <w:tc>
          <w:tcPr>
            <w:tcW w:w="3600" w:type="dxa"/>
            <w:shd w:val="clear" w:color="auto" w:fill="auto"/>
            <w:noWrap/>
            <w:hideMark/>
          </w:tcPr>
          <w:p w14:paraId="51CC48C3"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النقطة التي يتم فيها إيقاف الأعمال التي تقوم بها عناصر متسللة وإصابة تلك العناصر بالعجز فلا يستطيعوا القتال ضد قوات الأمن</w:t>
            </w:r>
          </w:p>
        </w:tc>
        <w:tc>
          <w:tcPr>
            <w:tcW w:w="1440" w:type="dxa"/>
            <w:shd w:val="clear" w:color="auto" w:fill="auto"/>
            <w:noWrap/>
            <w:hideMark/>
          </w:tcPr>
          <w:p w14:paraId="25103A6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A9C7766"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التحييد</w:t>
            </w:r>
          </w:p>
        </w:tc>
      </w:tr>
      <w:tr w:rsidR="007B5806" w:rsidRPr="007C33D9" w14:paraId="780EADD1" w14:textId="77777777" w:rsidTr="007B5806">
        <w:trPr>
          <w:trHeight w:val="300"/>
        </w:trPr>
        <w:tc>
          <w:tcPr>
            <w:tcW w:w="2160" w:type="dxa"/>
            <w:shd w:val="clear" w:color="auto" w:fill="auto"/>
            <w:noWrap/>
            <w:hideMark/>
          </w:tcPr>
          <w:p w14:paraId="358F1043" w14:textId="77777777" w:rsidR="007B5806" w:rsidRPr="007C33D9" w:rsidRDefault="007B5806" w:rsidP="007B5806">
            <w:pPr>
              <w:spacing w:after="0" w:line="240" w:lineRule="auto"/>
              <w:rPr>
                <w:rFonts w:eastAsia="Times New Roman"/>
                <w:b/>
                <w:bCs/>
                <w:color w:val="000000"/>
              </w:rPr>
            </w:pPr>
            <w:proofErr w:type="spellStart"/>
            <w:r w:rsidRPr="007C33D9">
              <w:rPr>
                <w:rFonts w:eastAsia="Times New Roman"/>
                <w:b/>
                <w:bCs/>
                <w:color w:val="000000"/>
              </w:rPr>
              <w:t>nonmaster</w:t>
            </w:r>
            <w:proofErr w:type="spellEnd"/>
            <w:r w:rsidRPr="007C33D9">
              <w:rPr>
                <w:rFonts w:eastAsia="Times New Roman"/>
                <w:b/>
                <w:bCs/>
                <w:color w:val="000000"/>
              </w:rPr>
              <w:t xml:space="preserve"> key</w:t>
            </w:r>
          </w:p>
        </w:tc>
        <w:tc>
          <w:tcPr>
            <w:tcW w:w="1440" w:type="dxa"/>
            <w:shd w:val="clear" w:color="auto" w:fill="auto"/>
            <w:noWrap/>
            <w:hideMark/>
          </w:tcPr>
          <w:p w14:paraId="4C6FBB26"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56B6E5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Unlocks only the lock for which it was made; opposite of a master key that is a single key that unlocks multiple locks</w:t>
            </w:r>
          </w:p>
        </w:tc>
        <w:tc>
          <w:tcPr>
            <w:tcW w:w="3600" w:type="dxa"/>
            <w:shd w:val="clear" w:color="auto" w:fill="auto"/>
            <w:noWrap/>
            <w:hideMark/>
          </w:tcPr>
          <w:p w14:paraId="357572D3"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يفتح فقط القفل المخصص له؛ على عكس المفتاح الرئيسي الذي يقوم بفتح عدة أقفال مختلفة</w:t>
            </w:r>
          </w:p>
        </w:tc>
        <w:tc>
          <w:tcPr>
            <w:tcW w:w="1440" w:type="dxa"/>
            <w:shd w:val="clear" w:color="auto" w:fill="auto"/>
            <w:noWrap/>
            <w:hideMark/>
          </w:tcPr>
          <w:p w14:paraId="75C2D381"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E38E74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المفتاح غير الرئيسي</w:t>
            </w:r>
          </w:p>
        </w:tc>
      </w:tr>
      <w:tr w:rsidR="007B5806" w:rsidRPr="007C33D9" w14:paraId="2FDFDCC7" w14:textId="77777777" w:rsidTr="007B5806">
        <w:trPr>
          <w:trHeight w:val="300"/>
        </w:trPr>
        <w:tc>
          <w:tcPr>
            <w:tcW w:w="2160" w:type="dxa"/>
            <w:shd w:val="clear" w:color="auto" w:fill="auto"/>
            <w:noWrap/>
            <w:hideMark/>
          </w:tcPr>
          <w:p w14:paraId="662F2F3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nuisance alarm</w:t>
            </w:r>
          </w:p>
        </w:tc>
        <w:tc>
          <w:tcPr>
            <w:tcW w:w="1440" w:type="dxa"/>
            <w:shd w:val="clear" w:color="auto" w:fill="auto"/>
            <w:noWrap/>
            <w:hideMark/>
          </w:tcPr>
          <w:p w14:paraId="3B347BB3"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77A4682"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Any alarm not caused by an intrusion</w:t>
            </w:r>
          </w:p>
        </w:tc>
        <w:tc>
          <w:tcPr>
            <w:tcW w:w="3600" w:type="dxa"/>
            <w:shd w:val="clear" w:color="auto" w:fill="auto"/>
            <w:noWrap/>
            <w:hideMark/>
          </w:tcPr>
          <w:p w14:paraId="58EFEA2D"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أي إنذار غير ناتج عن محاولة تسلل </w:t>
            </w:r>
          </w:p>
        </w:tc>
        <w:tc>
          <w:tcPr>
            <w:tcW w:w="1440" w:type="dxa"/>
            <w:shd w:val="clear" w:color="auto" w:fill="auto"/>
            <w:noWrap/>
            <w:hideMark/>
          </w:tcPr>
          <w:p w14:paraId="06F7B158"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75B2D2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الإنذار العارض</w:t>
            </w:r>
          </w:p>
        </w:tc>
      </w:tr>
      <w:tr w:rsidR="007B5806" w:rsidRPr="007C33D9" w14:paraId="54F1CCE3" w14:textId="77777777" w:rsidTr="007B5806">
        <w:trPr>
          <w:trHeight w:val="300"/>
        </w:trPr>
        <w:tc>
          <w:tcPr>
            <w:tcW w:w="2160" w:type="dxa"/>
            <w:shd w:val="clear" w:color="auto" w:fill="auto"/>
            <w:noWrap/>
            <w:hideMark/>
          </w:tcPr>
          <w:p w14:paraId="3A258D31"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Office of Antiterrorism Assistance</w:t>
            </w:r>
          </w:p>
        </w:tc>
        <w:tc>
          <w:tcPr>
            <w:tcW w:w="1440" w:type="dxa"/>
            <w:shd w:val="clear" w:color="auto" w:fill="auto"/>
            <w:noWrap/>
            <w:hideMark/>
          </w:tcPr>
          <w:p w14:paraId="4DA674E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ATA</w:t>
            </w:r>
          </w:p>
        </w:tc>
        <w:tc>
          <w:tcPr>
            <w:tcW w:w="3600" w:type="dxa"/>
            <w:shd w:val="clear" w:color="auto" w:fill="auto"/>
            <w:noWrap/>
            <w:hideMark/>
          </w:tcPr>
          <w:p w14:paraId="05DFB589"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Office of Antiterrorism Assistance (US State Department)</w:t>
            </w:r>
          </w:p>
        </w:tc>
        <w:tc>
          <w:tcPr>
            <w:tcW w:w="3600" w:type="dxa"/>
            <w:shd w:val="clear" w:color="auto" w:fill="auto"/>
            <w:noWrap/>
            <w:hideMark/>
          </w:tcPr>
          <w:p w14:paraId="724406A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مكتب المساعدة في مكافحة الإرهاب (وزارة الخارجية الأمريكية)</w:t>
            </w:r>
          </w:p>
        </w:tc>
        <w:tc>
          <w:tcPr>
            <w:tcW w:w="1440" w:type="dxa"/>
            <w:shd w:val="clear" w:color="auto" w:fill="auto"/>
            <w:noWrap/>
            <w:hideMark/>
          </w:tcPr>
          <w:p w14:paraId="36C05C9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ATA</w:t>
            </w:r>
          </w:p>
        </w:tc>
        <w:tc>
          <w:tcPr>
            <w:tcW w:w="2160" w:type="dxa"/>
            <w:shd w:val="clear" w:color="auto" w:fill="auto"/>
            <w:noWrap/>
            <w:hideMark/>
          </w:tcPr>
          <w:p w14:paraId="0CAC9C38"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مكتب المساعدة في مكافحة الإرهاب</w:t>
            </w:r>
          </w:p>
        </w:tc>
      </w:tr>
      <w:tr w:rsidR="007B5806" w:rsidRPr="007C33D9" w14:paraId="729EA732" w14:textId="77777777" w:rsidTr="007B5806">
        <w:trPr>
          <w:trHeight w:val="300"/>
        </w:trPr>
        <w:tc>
          <w:tcPr>
            <w:tcW w:w="2160" w:type="dxa"/>
            <w:shd w:val="clear" w:color="auto" w:fill="auto"/>
            <w:noWrap/>
            <w:hideMark/>
          </w:tcPr>
          <w:p w14:paraId="5B4DF15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passive sensor</w:t>
            </w:r>
          </w:p>
        </w:tc>
        <w:tc>
          <w:tcPr>
            <w:tcW w:w="1440" w:type="dxa"/>
            <w:shd w:val="clear" w:color="auto" w:fill="auto"/>
            <w:noWrap/>
            <w:hideMark/>
          </w:tcPr>
          <w:p w14:paraId="582F638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D0A073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electronic device that detects energy emitted by intruder</w:t>
            </w:r>
          </w:p>
        </w:tc>
        <w:tc>
          <w:tcPr>
            <w:tcW w:w="3600" w:type="dxa"/>
            <w:shd w:val="clear" w:color="auto" w:fill="auto"/>
            <w:noWrap/>
            <w:hideMark/>
          </w:tcPr>
          <w:p w14:paraId="74C476CA"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جهاز الكتروني يرصد الطاقة المنبعثة من العنصر المتسلل</w:t>
            </w:r>
          </w:p>
        </w:tc>
        <w:tc>
          <w:tcPr>
            <w:tcW w:w="1440" w:type="dxa"/>
            <w:shd w:val="clear" w:color="auto" w:fill="auto"/>
            <w:noWrap/>
            <w:hideMark/>
          </w:tcPr>
          <w:p w14:paraId="300E161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7729A8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 xml:space="preserve">جهاز </w:t>
            </w:r>
            <w:proofErr w:type="spellStart"/>
            <w:r w:rsidRPr="007C33D9">
              <w:rPr>
                <w:rFonts w:eastAsia="Times New Roman"/>
                <w:b/>
                <w:bCs/>
                <w:color w:val="000000"/>
                <w:rtl/>
              </w:rPr>
              <w:t>الإستشعار</w:t>
            </w:r>
            <w:proofErr w:type="spellEnd"/>
            <w:r w:rsidRPr="007C33D9">
              <w:rPr>
                <w:rFonts w:eastAsia="Times New Roman"/>
                <w:b/>
                <w:bCs/>
                <w:color w:val="000000"/>
                <w:rtl/>
              </w:rPr>
              <w:t xml:space="preserve"> السلبي</w:t>
            </w:r>
          </w:p>
        </w:tc>
      </w:tr>
      <w:tr w:rsidR="007B5806" w:rsidRPr="007C33D9" w14:paraId="5250280C" w14:textId="77777777" w:rsidTr="007B5806">
        <w:trPr>
          <w:trHeight w:val="300"/>
        </w:trPr>
        <w:tc>
          <w:tcPr>
            <w:tcW w:w="2160" w:type="dxa"/>
            <w:shd w:val="clear" w:color="auto" w:fill="auto"/>
            <w:noWrap/>
            <w:hideMark/>
          </w:tcPr>
          <w:p w14:paraId="4B8122EC"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perimeter barrier</w:t>
            </w:r>
          </w:p>
        </w:tc>
        <w:tc>
          <w:tcPr>
            <w:tcW w:w="1440" w:type="dxa"/>
            <w:shd w:val="clear" w:color="auto" w:fill="auto"/>
            <w:noWrap/>
            <w:hideMark/>
          </w:tcPr>
          <w:p w14:paraId="34259805"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145BAF4"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natural boundary, freestanding fence or wall, or the outer walls or divisions of a building</w:t>
            </w:r>
          </w:p>
        </w:tc>
        <w:tc>
          <w:tcPr>
            <w:tcW w:w="3600" w:type="dxa"/>
            <w:shd w:val="clear" w:color="auto" w:fill="auto"/>
            <w:noWrap/>
            <w:hideMark/>
          </w:tcPr>
          <w:p w14:paraId="0B21F2E4"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حد طبيعي، أو </w:t>
            </w:r>
            <w:proofErr w:type="gramStart"/>
            <w:r w:rsidRPr="007C33D9">
              <w:rPr>
                <w:rFonts w:eastAsia="Times New Roman"/>
                <w:color w:val="000000"/>
                <w:rtl/>
              </w:rPr>
              <w:t>سياج</w:t>
            </w:r>
            <w:proofErr w:type="gramEnd"/>
            <w:r w:rsidRPr="007C33D9">
              <w:rPr>
                <w:rFonts w:eastAsia="Times New Roman"/>
                <w:color w:val="000000"/>
                <w:rtl/>
              </w:rPr>
              <w:t xml:space="preserve"> أو السور القائم بذاته، أو السور الخارجي أو الفواصل التقسيمية للمبنى</w:t>
            </w:r>
          </w:p>
        </w:tc>
        <w:tc>
          <w:tcPr>
            <w:tcW w:w="1440" w:type="dxa"/>
            <w:shd w:val="clear" w:color="auto" w:fill="auto"/>
            <w:noWrap/>
            <w:hideMark/>
          </w:tcPr>
          <w:p w14:paraId="306FDCE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E7AA67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حاجز المحيط الأمني</w:t>
            </w:r>
          </w:p>
        </w:tc>
      </w:tr>
      <w:tr w:rsidR="007B5806" w:rsidRPr="007C33D9" w14:paraId="6C98197F" w14:textId="77777777" w:rsidTr="007B5806">
        <w:trPr>
          <w:trHeight w:val="300"/>
        </w:trPr>
        <w:tc>
          <w:tcPr>
            <w:tcW w:w="2160" w:type="dxa"/>
            <w:shd w:val="clear" w:color="auto" w:fill="auto"/>
            <w:noWrap/>
            <w:hideMark/>
          </w:tcPr>
          <w:p w14:paraId="681D3CE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physical protection system</w:t>
            </w:r>
          </w:p>
        </w:tc>
        <w:tc>
          <w:tcPr>
            <w:tcW w:w="1440" w:type="dxa"/>
            <w:shd w:val="clear" w:color="auto" w:fill="auto"/>
            <w:noWrap/>
            <w:hideMark/>
          </w:tcPr>
          <w:p w14:paraId="44B592D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PPS</w:t>
            </w:r>
          </w:p>
        </w:tc>
        <w:tc>
          <w:tcPr>
            <w:tcW w:w="3600" w:type="dxa"/>
            <w:shd w:val="clear" w:color="auto" w:fill="auto"/>
            <w:noWrap/>
            <w:hideMark/>
          </w:tcPr>
          <w:p w14:paraId="04CF8C7E"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integration of people, policies and procedures, and equipment for the protection of assets or facilities against all threats</w:t>
            </w:r>
          </w:p>
        </w:tc>
        <w:tc>
          <w:tcPr>
            <w:tcW w:w="3600" w:type="dxa"/>
            <w:shd w:val="clear" w:color="auto" w:fill="auto"/>
            <w:noWrap/>
            <w:hideMark/>
          </w:tcPr>
          <w:p w14:paraId="294D625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نظام يجمع بين الأفراد والسياسات والإجراءات والمعدات بغرض حماية الأصول أو المنشآت من كافة التهديدات</w:t>
            </w:r>
          </w:p>
        </w:tc>
        <w:tc>
          <w:tcPr>
            <w:tcW w:w="1440" w:type="dxa"/>
            <w:shd w:val="clear" w:color="auto" w:fill="auto"/>
            <w:noWrap/>
            <w:hideMark/>
          </w:tcPr>
          <w:p w14:paraId="18C26FA9"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PPS</w:t>
            </w:r>
          </w:p>
        </w:tc>
        <w:tc>
          <w:tcPr>
            <w:tcW w:w="2160" w:type="dxa"/>
            <w:shd w:val="clear" w:color="auto" w:fill="auto"/>
            <w:noWrap/>
            <w:hideMark/>
          </w:tcPr>
          <w:p w14:paraId="764267E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نظام الحماية المادية</w:t>
            </w:r>
          </w:p>
        </w:tc>
      </w:tr>
      <w:tr w:rsidR="007B5806" w:rsidRPr="007C33D9" w14:paraId="18775101" w14:textId="77777777" w:rsidTr="007B5806">
        <w:trPr>
          <w:trHeight w:val="300"/>
        </w:trPr>
        <w:tc>
          <w:tcPr>
            <w:tcW w:w="2160" w:type="dxa"/>
            <w:shd w:val="clear" w:color="auto" w:fill="auto"/>
            <w:noWrap/>
            <w:hideMark/>
          </w:tcPr>
          <w:p w14:paraId="2217199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policies and procedures</w:t>
            </w:r>
          </w:p>
        </w:tc>
        <w:tc>
          <w:tcPr>
            <w:tcW w:w="1440" w:type="dxa"/>
            <w:shd w:val="clear" w:color="auto" w:fill="auto"/>
            <w:noWrap/>
            <w:hideMark/>
          </w:tcPr>
          <w:p w14:paraId="6B3DAAD1"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7CF0285"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Basic written guidelines to ensure standard operational physical protection system effectiveness</w:t>
            </w:r>
          </w:p>
        </w:tc>
        <w:tc>
          <w:tcPr>
            <w:tcW w:w="3600" w:type="dxa"/>
            <w:shd w:val="clear" w:color="auto" w:fill="auto"/>
            <w:noWrap/>
            <w:hideMark/>
          </w:tcPr>
          <w:p w14:paraId="1BA0860E"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هي الإرشادات الأساسية المكتوبة لضمان فعالية الأداء الوظيفي لنظام الحماية المادية</w:t>
            </w:r>
          </w:p>
        </w:tc>
        <w:tc>
          <w:tcPr>
            <w:tcW w:w="1440" w:type="dxa"/>
            <w:shd w:val="clear" w:color="auto" w:fill="auto"/>
            <w:noWrap/>
            <w:hideMark/>
          </w:tcPr>
          <w:p w14:paraId="7843837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117C898"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السياسات والإجراءات</w:t>
            </w:r>
          </w:p>
        </w:tc>
      </w:tr>
      <w:tr w:rsidR="007B5806" w:rsidRPr="007C33D9" w14:paraId="2E42667D" w14:textId="77777777" w:rsidTr="007B5806">
        <w:trPr>
          <w:trHeight w:val="300"/>
        </w:trPr>
        <w:tc>
          <w:tcPr>
            <w:tcW w:w="2160" w:type="dxa"/>
            <w:shd w:val="clear" w:color="auto" w:fill="auto"/>
            <w:noWrap/>
            <w:hideMark/>
          </w:tcPr>
          <w:p w14:paraId="346B486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policy</w:t>
            </w:r>
          </w:p>
        </w:tc>
        <w:tc>
          <w:tcPr>
            <w:tcW w:w="1440" w:type="dxa"/>
            <w:shd w:val="clear" w:color="auto" w:fill="auto"/>
            <w:noWrap/>
            <w:hideMark/>
          </w:tcPr>
          <w:p w14:paraId="12C5D511"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A8B966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General guidance regarding an organization’s operational standards</w:t>
            </w:r>
          </w:p>
        </w:tc>
        <w:tc>
          <w:tcPr>
            <w:tcW w:w="3600" w:type="dxa"/>
            <w:shd w:val="clear" w:color="auto" w:fill="auto"/>
            <w:noWrap/>
            <w:hideMark/>
          </w:tcPr>
          <w:p w14:paraId="68152A0E"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هي الخطوط الإرشادية العامة الخاصة بالمعايير العملياتية للمنظمة.</w:t>
            </w:r>
          </w:p>
        </w:tc>
        <w:tc>
          <w:tcPr>
            <w:tcW w:w="1440" w:type="dxa"/>
            <w:shd w:val="clear" w:color="auto" w:fill="auto"/>
            <w:noWrap/>
            <w:hideMark/>
          </w:tcPr>
          <w:p w14:paraId="0EFB4FF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A37EB1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السياسة</w:t>
            </w:r>
          </w:p>
        </w:tc>
      </w:tr>
      <w:tr w:rsidR="007B5806" w:rsidRPr="007C33D9" w14:paraId="50A30FCD" w14:textId="77777777" w:rsidTr="007B5806">
        <w:trPr>
          <w:trHeight w:val="300"/>
        </w:trPr>
        <w:tc>
          <w:tcPr>
            <w:tcW w:w="2160" w:type="dxa"/>
            <w:shd w:val="clear" w:color="auto" w:fill="auto"/>
            <w:noWrap/>
            <w:hideMark/>
          </w:tcPr>
          <w:p w14:paraId="4462856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power source</w:t>
            </w:r>
          </w:p>
        </w:tc>
        <w:tc>
          <w:tcPr>
            <w:tcW w:w="1440" w:type="dxa"/>
            <w:shd w:val="clear" w:color="auto" w:fill="auto"/>
            <w:noWrap/>
            <w:hideMark/>
          </w:tcPr>
          <w:p w14:paraId="12A59366"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51459A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Creates electrical energy for an electrically initiated IED</w:t>
            </w:r>
          </w:p>
        </w:tc>
        <w:tc>
          <w:tcPr>
            <w:tcW w:w="3600" w:type="dxa"/>
            <w:shd w:val="clear" w:color="auto" w:fill="auto"/>
            <w:noWrap/>
            <w:hideMark/>
          </w:tcPr>
          <w:p w14:paraId="28BFBB2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يقوم بتوليد الطاقة الكهربية لإمداد تفعيل الجهاز المتفجر المرتجل</w:t>
            </w:r>
          </w:p>
        </w:tc>
        <w:tc>
          <w:tcPr>
            <w:tcW w:w="1440" w:type="dxa"/>
            <w:shd w:val="clear" w:color="auto" w:fill="auto"/>
            <w:noWrap/>
            <w:hideMark/>
          </w:tcPr>
          <w:p w14:paraId="5E7B813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319D23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مصدر الطاقة</w:t>
            </w:r>
          </w:p>
        </w:tc>
      </w:tr>
      <w:tr w:rsidR="007B5806" w:rsidRPr="007C33D9" w14:paraId="72A07913" w14:textId="77777777" w:rsidTr="007B5806">
        <w:trPr>
          <w:trHeight w:val="300"/>
        </w:trPr>
        <w:tc>
          <w:tcPr>
            <w:tcW w:w="2160" w:type="dxa"/>
            <w:shd w:val="clear" w:color="auto" w:fill="auto"/>
            <w:noWrap/>
            <w:hideMark/>
          </w:tcPr>
          <w:p w14:paraId="1AA21AAB"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probability of detection</w:t>
            </w:r>
          </w:p>
        </w:tc>
        <w:tc>
          <w:tcPr>
            <w:tcW w:w="1440" w:type="dxa"/>
            <w:shd w:val="clear" w:color="auto" w:fill="auto"/>
            <w:noWrap/>
            <w:hideMark/>
          </w:tcPr>
          <w:p w14:paraId="57E5DAE0"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80AAB8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likelihood that an intrusion detection system senses and actual threat or attack</w:t>
            </w:r>
          </w:p>
        </w:tc>
        <w:tc>
          <w:tcPr>
            <w:tcW w:w="3600" w:type="dxa"/>
            <w:shd w:val="clear" w:color="auto" w:fill="auto"/>
            <w:noWrap/>
            <w:hideMark/>
          </w:tcPr>
          <w:p w14:paraId="3C631FF4"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احتمالية قيام جهاز رصد المتسللين باكتشاف عملية التسلل أو تهديد أو هجوم فعلي</w:t>
            </w:r>
          </w:p>
        </w:tc>
        <w:tc>
          <w:tcPr>
            <w:tcW w:w="1440" w:type="dxa"/>
            <w:shd w:val="clear" w:color="auto" w:fill="auto"/>
            <w:noWrap/>
            <w:hideMark/>
          </w:tcPr>
          <w:p w14:paraId="41CD992D"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77A1C68" w14:textId="77777777" w:rsidR="007B5806" w:rsidRPr="007C33D9" w:rsidRDefault="007B5806" w:rsidP="007B5806">
            <w:pPr>
              <w:bidi/>
              <w:spacing w:after="0" w:line="240" w:lineRule="auto"/>
              <w:rPr>
                <w:rFonts w:eastAsia="Times New Roman"/>
                <w:b/>
                <w:bCs/>
                <w:color w:val="000000"/>
              </w:rPr>
            </w:pPr>
            <w:proofErr w:type="spellStart"/>
            <w:r w:rsidRPr="007C33D9">
              <w:rPr>
                <w:rFonts w:eastAsia="Times New Roman"/>
                <w:b/>
                <w:bCs/>
                <w:color w:val="000000"/>
                <w:rtl/>
              </w:rPr>
              <w:t>إحتمال</w:t>
            </w:r>
            <w:proofErr w:type="spellEnd"/>
            <w:r w:rsidRPr="007C33D9">
              <w:rPr>
                <w:rFonts w:eastAsia="Times New Roman"/>
                <w:b/>
                <w:bCs/>
                <w:color w:val="000000"/>
                <w:rtl/>
              </w:rPr>
              <w:t xml:space="preserve"> الكشف</w:t>
            </w:r>
          </w:p>
        </w:tc>
      </w:tr>
      <w:tr w:rsidR="007B5806" w:rsidRPr="007C33D9" w14:paraId="34D49F8C" w14:textId="77777777" w:rsidTr="007B5806">
        <w:trPr>
          <w:trHeight w:val="300"/>
        </w:trPr>
        <w:tc>
          <w:tcPr>
            <w:tcW w:w="2160" w:type="dxa"/>
            <w:shd w:val="clear" w:color="auto" w:fill="auto"/>
            <w:noWrap/>
            <w:hideMark/>
          </w:tcPr>
          <w:p w14:paraId="1151D00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probability of occurrence</w:t>
            </w:r>
          </w:p>
        </w:tc>
        <w:tc>
          <w:tcPr>
            <w:tcW w:w="1440" w:type="dxa"/>
            <w:shd w:val="clear" w:color="auto" w:fill="auto"/>
            <w:noWrap/>
            <w:hideMark/>
          </w:tcPr>
          <w:p w14:paraId="0AA77032"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487F01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likelihood that a terrorist will attack or an undesirable event will happen</w:t>
            </w:r>
          </w:p>
        </w:tc>
        <w:tc>
          <w:tcPr>
            <w:tcW w:w="3600" w:type="dxa"/>
            <w:shd w:val="clear" w:color="auto" w:fill="auto"/>
            <w:noWrap/>
            <w:hideMark/>
          </w:tcPr>
          <w:p w14:paraId="7E12E94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هي تقديرات </w:t>
            </w:r>
            <w:proofErr w:type="spellStart"/>
            <w:r w:rsidRPr="007C33D9">
              <w:rPr>
                <w:rFonts w:eastAsia="Times New Roman"/>
                <w:color w:val="000000"/>
                <w:rtl/>
              </w:rPr>
              <w:t>إحتمالات</w:t>
            </w:r>
            <w:proofErr w:type="spellEnd"/>
            <w:r w:rsidRPr="007C33D9">
              <w:rPr>
                <w:rFonts w:eastAsia="Times New Roman"/>
                <w:color w:val="000000"/>
                <w:rtl/>
              </w:rPr>
              <w:t xml:space="preserve"> حدوث هجوم إرهابي أو واقعة غير مرغوبة</w:t>
            </w:r>
          </w:p>
        </w:tc>
        <w:tc>
          <w:tcPr>
            <w:tcW w:w="1440" w:type="dxa"/>
            <w:shd w:val="clear" w:color="auto" w:fill="auto"/>
            <w:noWrap/>
            <w:hideMark/>
          </w:tcPr>
          <w:p w14:paraId="368C9F8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BD13B16" w14:textId="77777777" w:rsidR="007B5806" w:rsidRPr="007C33D9" w:rsidRDefault="007B5806" w:rsidP="007B5806">
            <w:pPr>
              <w:bidi/>
              <w:spacing w:after="0" w:line="240" w:lineRule="auto"/>
              <w:rPr>
                <w:rFonts w:eastAsia="Times New Roman"/>
                <w:b/>
                <w:bCs/>
                <w:color w:val="000000"/>
              </w:rPr>
            </w:pPr>
            <w:proofErr w:type="spellStart"/>
            <w:r w:rsidRPr="007C33D9">
              <w:rPr>
                <w:rFonts w:eastAsia="Times New Roman"/>
                <w:b/>
                <w:bCs/>
                <w:color w:val="000000"/>
                <w:rtl/>
              </w:rPr>
              <w:t>إحتمالية</w:t>
            </w:r>
            <w:proofErr w:type="spellEnd"/>
            <w:r w:rsidRPr="007C33D9">
              <w:rPr>
                <w:rFonts w:eastAsia="Times New Roman"/>
                <w:b/>
                <w:bCs/>
                <w:color w:val="000000"/>
                <w:rtl/>
              </w:rPr>
              <w:t xml:space="preserve"> الحدوث</w:t>
            </w:r>
          </w:p>
        </w:tc>
      </w:tr>
      <w:tr w:rsidR="007B5806" w:rsidRPr="007C33D9" w14:paraId="1B1F6989" w14:textId="77777777" w:rsidTr="007B5806">
        <w:trPr>
          <w:trHeight w:val="300"/>
        </w:trPr>
        <w:tc>
          <w:tcPr>
            <w:tcW w:w="2160" w:type="dxa"/>
            <w:shd w:val="clear" w:color="auto" w:fill="auto"/>
            <w:noWrap/>
            <w:hideMark/>
          </w:tcPr>
          <w:p w14:paraId="5BF98E8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procedure</w:t>
            </w:r>
          </w:p>
        </w:tc>
        <w:tc>
          <w:tcPr>
            <w:tcW w:w="1440" w:type="dxa"/>
            <w:shd w:val="clear" w:color="auto" w:fill="auto"/>
            <w:noWrap/>
            <w:hideMark/>
          </w:tcPr>
          <w:p w14:paraId="0FDECF7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1CA58C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specific series of tasks, steps, and processes necessary to accomplish a particular goal; how the organization intends to carry out operating policies</w:t>
            </w:r>
          </w:p>
        </w:tc>
        <w:tc>
          <w:tcPr>
            <w:tcW w:w="3600" w:type="dxa"/>
            <w:shd w:val="clear" w:color="auto" w:fill="auto"/>
            <w:noWrap/>
            <w:hideMark/>
          </w:tcPr>
          <w:p w14:paraId="7ABBD15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سلسلة من المهام المحددة، والخطوات، والتحركات الضرورية لإنجاز هدف معين، كما يتضمن </w:t>
            </w:r>
            <w:proofErr w:type="gramStart"/>
            <w:r w:rsidRPr="007C33D9">
              <w:rPr>
                <w:rFonts w:eastAsia="Times New Roman"/>
                <w:color w:val="000000"/>
                <w:rtl/>
              </w:rPr>
              <w:t>نوايا</w:t>
            </w:r>
            <w:proofErr w:type="gramEnd"/>
            <w:r w:rsidRPr="007C33D9">
              <w:rPr>
                <w:rFonts w:eastAsia="Times New Roman"/>
                <w:color w:val="000000"/>
                <w:rtl/>
              </w:rPr>
              <w:t xml:space="preserve"> المنظمة وكيفية تصميمها على تنفيذ سياساتها العملياتية القائمة</w:t>
            </w:r>
          </w:p>
        </w:tc>
        <w:tc>
          <w:tcPr>
            <w:tcW w:w="1440" w:type="dxa"/>
            <w:shd w:val="clear" w:color="auto" w:fill="auto"/>
            <w:noWrap/>
            <w:hideMark/>
          </w:tcPr>
          <w:p w14:paraId="125B89F8"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CC8B6F3"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الإجراء</w:t>
            </w:r>
          </w:p>
        </w:tc>
      </w:tr>
      <w:tr w:rsidR="007B5806" w:rsidRPr="007C33D9" w14:paraId="03672F0A" w14:textId="77777777" w:rsidTr="007B5806">
        <w:trPr>
          <w:trHeight w:val="300"/>
        </w:trPr>
        <w:tc>
          <w:tcPr>
            <w:tcW w:w="2160" w:type="dxa"/>
            <w:shd w:val="clear" w:color="auto" w:fill="auto"/>
            <w:noWrap/>
            <w:hideMark/>
          </w:tcPr>
          <w:p w14:paraId="1F207DC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progressive collapse</w:t>
            </w:r>
          </w:p>
        </w:tc>
        <w:tc>
          <w:tcPr>
            <w:tcW w:w="1440" w:type="dxa"/>
            <w:shd w:val="clear" w:color="auto" w:fill="auto"/>
            <w:noWrap/>
            <w:hideMark/>
          </w:tcPr>
          <w:p w14:paraId="3C85AF9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FAE9A42"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Occurs when the collapse of one structural element causes the failure of adjoining structural elements</w:t>
            </w:r>
          </w:p>
        </w:tc>
        <w:tc>
          <w:tcPr>
            <w:tcW w:w="3600" w:type="dxa"/>
            <w:shd w:val="clear" w:color="auto" w:fill="auto"/>
            <w:noWrap/>
            <w:hideMark/>
          </w:tcPr>
          <w:p w14:paraId="1860C4B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يحدث عندما يتداعى أحد عناصر المبنى الإنشائي مما يؤثر بدوره على انهيار هيكلي لباقي العناصر المجاورة.</w:t>
            </w:r>
          </w:p>
        </w:tc>
        <w:tc>
          <w:tcPr>
            <w:tcW w:w="1440" w:type="dxa"/>
            <w:shd w:val="clear" w:color="auto" w:fill="auto"/>
            <w:noWrap/>
            <w:hideMark/>
          </w:tcPr>
          <w:p w14:paraId="5367B2A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C3E0C3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الانهيار التدريجي</w:t>
            </w:r>
          </w:p>
        </w:tc>
      </w:tr>
      <w:tr w:rsidR="007B5806" w:rsidRPr="007C33D9" w14:paraId="758D04A0" w14:textId="77777777" w:rsidTr="007B5806">
        <w:trPr>
          <w:trHeight w:val="300"/>
        </w:trPr>
        <w:tc>
          <w:tcPr>
            <w:tcW w:w="2160" w:type="dxa"/>
            <w:shd w:val="clear" w:color="auto" w:fill="auto"/>
            <w:noWrap/>
            <w:hideMark/>
          </w:tcPr>
          <w:p w14:paraId="288447A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protected paths</w:t>
            </w:r>
          </w:p>
        </w:tc>
        <w:tc>
          <w:tcPr>
            <w:tcW w:w="1440" w:type="dxa"/>
            <w:shd w:val="clear" w:color="auto" w:fill="auto"/>
            <w:noWrap/>
            <w:hideMark/>
          </w:tcPr>
          <w:p w14:paraId="75BECF20"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41CF490"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Routes and areas that have been secured for security force response</w:t>
            </w:r>
          </w:p>
        </w:tc>
        <w:tc>
          <w:tcPr>
            <w:tcW w:w="3600" w:type="dxa"/>
            <w:shd w:val="clear" w:color="auto" w:fill="auto"/>
            <w:noWrap/>
            <w:hideMark/>
          </w:tcPr>
          <w:p w14:paraId="55DF0E8E"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هي المسالك والمناطق التي تم تأمينها لتحقيق </w:t>
            </w:r>
            <w:proofErr w:type="spellStart"/>
            <w:r w:rsidRPr="007C33D9">
              <w:rPr>
                <w:rFonts w:eastAsia="Times New Roman"/>
                <w:color w:val="000000"/>
                <w:rtl/>
              </w:rPr>
              <w:t>الإستجابة</w:t>
            </w:r>
            <w:proofErr w:type="spellEnd"/>
            <w:r w:rsidRPr="007C33D9">
              <w:rPr>
                <w:rFonts w:eastAsia="Times New Roman"/>
                <w:color w:val="000000"/>
                <w:rtl/>
              </w:rPr>
              <w:t xml:space="preserve"> الأمنية لقوات الأمن </w:t>
            </w:r>
          </w:p>
        </w:tc>
        <w:tc>
          <w:tcPr>
            <w:tcW w:w="1440" w:type="dxa"/>
            <w:shd w:val="clear" w:color="auto" w:fill="auto"/>
            <w:noWrap/>
            <w:hideMark/>
          </w:tcPr>
          <w:p w14:paraId="693E3A0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345BDB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المسارات المحمية</w:t>
            </w:r>
          </w:p>
        </w:tc>
      </w:tr>
      <w:tr w:rsidR="007B5806" w:rsidRPr="007C33D9" w14:paraId="6A4A5471" w14:textId="77777777" w:rsidTr="007B5806">
        <w:trPr>
          <w:trHeight w:val="300"/>
        </w:trPr>
        <w:tc>
          <w:tcPr>
            <w:tcW w:w="2160" w:type="dxa"/>
            <w:shd w:val="clear" w:color="auto" w:fill="auto"/>
            <w:noWrap/>
            <w:hideMark/>
          </w:tcPr>
          <w:p w14:paraId="3DF76FD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protection</w:t>
            </w:r>
          </w:p>
        </w:tc>
        <w:tc>
          <w:tcPr>
            <w:tcW w:w="1440" w:type="dxa"/>
            <w:shd w:val="clear" w:color="auto" w:fill="auto"/>
            <w:noWrap/>
            <w:hideMark/>
          </w:tcPr>
          <w:p w14:paraId="5889DBA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BBD568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capabilities necessary to secure the homeland against acts of terrorism and human or natural disasters</w:t>
            </w:r>
          </w:p>
        </w:tc>
        <w:tc>
          <w:tcPr>
            <w:tcW w:w="3600" w:type="dxa"/>
            <w:shd w:val="clear" w:color="auto" w:fill="auto"/>
            <w:noWrap/>
            <w:hideMark/>
          </w:tcPr>
          <w:p w14:paraId="69ACB12F"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القدرات الضرورية لتأمين الوطن ضد أعمال إرهابية أو كوارث طبيعية أو من صنع البشر </w:t>
            </w:r>
          </w:p>
        </w:tc>
        <w:tc>
          <w:tcPr>
            <w:tcW w:w="1440" w:type="dxa"/>
            <w:shd w:val="clear" w:color="auto" w:fill="auto"/>
            <w:noWrap/>
            <w:hideMark/>
          </w:tcPr>
          <w:p w14:paraId="211650D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028DA4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الحماية</w:t>
            </w:r>
          </w:p>
        </w:tc>
      </w:tr>
      <w:tr w:rsidR="007B5806" w:rsidRPr="007C33D9" w14:paraId="01EAE489" w14:textId="77777777" w:rsidTr="007B5806">
        <w:trPr>
          <w:trHeight w:val="300"/>
        </w:trPr>
        <w:tc>
          <w:tcPr>
            <w:tcW w:w="2160" w:type="dxa"/>
            <w:shd w:val="clear" w:color="auto" w:fill="auto"/>
            <w:noWrap/>
            <w:hideMark/>
          </w:tcPr>
          <w:p w14:paraId="4096691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protection-in-depth</w:t>
            </w:r>
          </w:p>
        </w:tc>
        <w:tc>
          <w:tcPr>
            <w:tcW w:w="1440" w:type="dxa"/>
            <w:shd w:val="clear" w:color="auto" w:fill="auto"/>
            <w:noWrap/>
            <w:hideMark/>
          </w:tcPr>
          <w:p w14:paraId="654967DF"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C22C6C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A characteristic of an effective physical protection system that requires an intruder to avoid or defeat </w:t>
            </w:r>
            <w:proofErr w:type="gramStart"/>
            <w:r w:rsidRPr="007C33D9">
              <w:rPr>
                <w:rFonts w:eastAsia="Times New Roman"/>
                <w:color w:val="000000"/>
              </w:rPr>
              <w:t>a number of</w:t>
            </w:r>
            <w:proofErr w:type="gramEnd"/>
            <w:r w:rsidRPr="007C33D9">
              <w:rPr>
                <w:rFonts w:eastAsia="Times New Roman"/>
                <w:color w:val="000000"/>
              </w:rPr>
              <w:t xml:space="preserve"> protective devices in sequence to reach an objective or target</w:t>
            </w:r>
          </w:p>
        </w:tc>
        <w:tc>
          <w:tcPr>
            <w:tcW w:w="3600" w:type="dxa"/>
            <w:shd w:val="clear" w:color="auto" w:fill="auto"/>
            <w:noWrap/>
            <w:hideMark/>
          </w:tcPr>
          <w:p w14:paraId="6D30A84A"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هي خاصية يتمتع بها نظام الأمن المادي، وهي تجبر العنصر المتسلل على محاولة تحاشي أو التغلب على عدد من أجهزة الحماية الأمنية بطريقة متسلسلة حتى يتمكن من الوصول إلى الغرض أو الهدف</w:t>
            </w:r>
          </w:p>
        </w:tc>
        <w:tc>
          <w:tcPr>
            <w:tcW w:w="1440" w:type="dxa"/>
            <w:shd w:val="clear" w:color="auto" w:fill="auto"/>
            <w:noWrap/>
            <w:hideMark/>
          </w:tcPr>
          <w:p w14:paraId="7EB5239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622D8F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الحماية العميقة</w:t>
            </w:r>
          </w:p>
        </w:tc>
      </w:tr>
      <w:tr w:rsidR="007B5806" w:rsidRPr="007C33D9" w14:paraId="6494A825" w14:textId="77777777" w:rsidTr="007B5806">
        <w:trPr>
          <w:trHeight w:val="300"/>
        </w:trPr>
        <w:tc>
          <w:tcPr>
            <w:tcW w:w="2160" w:type="dxa"/>
            <w:shd w:val="clear" w:color="auto" w:fill="auto"/>
            <w:noWrap/>
            <w:hideMark/>
          </w:tcPr>
          <w:p w14:paraId="2B4E1CF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reflected pressure</w:t>
            </w:r>
          </w:p>
        </w:tc>
        <w:tc>
          <w:tcPr>
            <w:tcW w:w="1440" w:type="dxa"/>
            <w:shd w:val="clear" w:color="auto" w:fill="auto"/>
            <w:noWrap/>
            <w:hideMark/>
          </w:tcPr>
          <w:p w14:paraId="6EB9BDE4"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6B6D155"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Occurs when incident pressure is not parallel to the direction the wave is traveling </w:t>
            </w:r>
            <w:proofErr w:type="gramStart"/>
            <w:r w:rsidRPr="007C33D9">
              <w:rPr>
                <w:rFonts w:eastAsia="Times New Roman"/>
                <w:color w:val="000000"/>
              </w:rPr>
              <w:t>as a result of</w:t>
            </w:r>
            <w:proofErr w:type="gramEnd"/>
            <w:r w:rsidRPr="007C33D9">
              <w:rPr>
                <w:rFonts w:eastAsia="Times New Roman"/>
                <w:color w:val="000000"/>
              </w:rPr>
              <w:t xml:space="preserve"> </w:t>
            </w:r>
            <w:proofErr w:type="gramStart"/>
            <w:r w:rsidRPr="007C33D9">
              <w:rPr>
                <w:rFonts w:eastAsia="Times New Roman"/>
                <w:color w:val="000000"/>
              </w:rPr>
              <w:t>making contact with</w:t>
            </w:r>
            <w:proofErr w:type="gramEnd"/>
            <w:r w:rsidRPr="007C33D9">
              <w:rPr>
                <w:rFonts w:eastAsia="Times New Roman"/>
                <w:color w:val="000000"/>
              </w:rPr>
              <w:t xml:space="preserve"> a structure</w:t>
            </w:r>
          </w:p>
        </w:tc>
        <w:tc>
          <w:tcPr>
            <w:tcW w:w="3600" w:type="dxa"/>
            <w:shd w:val="clear" w:color="auto" w:fill="auto"/>
            <w:noWrap/>
            <w:hideMark/>
          </w:tcPr>
          <w:p w14:paraId="0E898D50"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يحدث عندما يكون الضغوط الحادثة غير متوازية في </w:t>
            </w:r>
            <w:proofErr w:type="spellStart"/>
            <w:r w:rsidRPr="007C33D9">
              <w:rPr>
                <w:rFonts w:eastAsia="Times New Roman"/>
                <w:color w:val="000000"/>
                <w:rtl/>
              </w:rPr>
              <w:t>الإتجاه</w:t>
            </w:r>
            <w:proofErr w:type="spellEnd"/>
            <w:r w:rsidRPr="007C33D9">
              <w:rPr>
                <w:rFonts w:eastAsia="Times New Roman"/>
                <w:color w:val="000000"/>
                <w:rtl/>
              </w:rPr>
              <w:t xml:space="preserve"> مع الموجة </w:t>
            </w:r>
            <w:proofErr w:type="spellStart"/>
            <w:r w:rsidRPr="007C33D9">
              <w:rPr>
                <w:rFonts w:eastAsia="Times New Roman"/>
                <w:color w:val="000000"/>
                <w:rtl/>
              </w:rPr>
              <w:t>الإنفجارية</w:t>
            </w:r>
            <w:proofErr w:type="spellEnd"/>
            <w:r w:rsidRPr="007C33D9">
              <w:rPr>
                <w:rFonts w:eastAsia="Times New Roman"/>
                <w:color w:val="000000"/>
                <w:rtl/>
              </w:rPr>
              <w:t xml:space="preserve"> التي تتحرك نتيجة التلامس مع الهيكل الإنشائي</w:t>
            </w:r>
          </w:p>
        </w:tc>
        <w:tc>
          <w:tcPr>
            <w:tcW w:w="1440" w:type="dxa"/>
            <w:shd w:val="clear" w:color="auto" w:fill="auto"/>
            <w:noWrap/>
            <w:hideMark/>
          </w:tcPr>
          <w:p w14:paraId="4DFEEAF6"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788C259"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الضغط المنعكس</w:t>
            </w:r>
          </w:p>
        </w:tc>
      </w:tr>
      <w:tr w:rsidR="007B5806" w:rsidRPr="007C33D9" w14:paraId="31FE7A18" w14:textId="77777777" w:rsidTr="007B5806">
        <w:trPr>
          <w:trHeight w:val="300"/>
        </w:trPr>
        <w:tc>
          <w:tcPr>
            <w:tcW w:w="2160" w:type="dxa"/>
            <w:shd w:val="clear" w:color="auto" w:fill="auto"/>
            <w:noWrap/>
            <w:hideMark/>
          </w:tcPr>
          <w:p w14:paraId="36038F26"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regional security officer</w:t>
            </w:r>
          </w:p>
        </w:tc>
        <w:tc>
          <w:tcPr>
            <w:tcW w:w="1440" w:type="dxa"/>
            <w:shd w:val="clear" w:color="auto" w:fill="auto"/>
            <w:noWrap/>
            <w:hideMark/>
          </w:tcPr>
          <w:p w14:paraId="41977A5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RSO</w:t>
            </w:r>
          </w:p>
        </w:tc>
        <w:tc>
          <w:tcPr>
            <w:tcW w:w="3600" w:type="dxa"/>
            <w:shd w:val="clear" w:color="auto" w:fill="auto"/>
            <w:noWrap/>
            <w:hideMark/>
          </w:tcPr>
          <w:p w14:paraId="6B3E78FC"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Regional security officer</w:t>
            </w:r>
          </w:p>
        </w:tc>
        <w:tc>
          <w:tcPr>
            <w:tcW w:w="3600" w:type="dxa"/>
            <w:shd w:val="clear" w:color="auto" w:fill="auto"/>
            <w:noWrap/>
            <w:hideMark/>
          </w:tcPr>
          <w:p w14:paraId="56B439A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ضابط الأمن الإقليمي</w:t>
            </w:r>
          </w:p>
        </w:tc>
        <w:tc>
          <w:tcPr>
            <w:tcW w:w="1440" w:type="dxa"/>
            <w:shd w:val="clear" w:color="auto" w:fill="auto"/>
            <w:noWrap/>
            <w:hideMark/>
          </w:tcPr>
          <w:p w14:paraId="5B14C14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RSO</w:t>
            </w:r>
          </w:p>
        </w:tc>
        <w:tc>
          <w:tcPr>
            <w:tcW w:w="2160" w:type="dxa"/>
            <w:shd w:val="clear" w:color="auto" w:fill="auto"/>
            <w:noWrap/>
            <w:hideMark/>
          </w:tcPr>
          <w:p w14:paraId="4647225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ضابط الأمن الإقليمي</w:t>
            </w:r>
          </w:p>
        </w:tc>
      </w:tr>
      <w:tr w:rsidR="007B5806" w:rsidRPr="007C33D9" w14:paraId="2D70FADE" w14:textId="77777777" w:rsidTr="007B5806">
        <w:trPr>
          <w:trHeight w:val="300"/>
        </w:trPr>
        <w:tc>
          <w:tcPr>
            <w:tcW w:w="2160" w:type="dxa"/>
            <w:shd w:val="clear" w:color="auto" w:fill="auto"/>
            <w:noWrap/>
            <w:hideMark/>
          </w:tcPr>
          <w:p w14:paraId="0A9EAD8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resilience</w:t>
            </w:r>
          </w:p>
        </w:tc>
        <w:tc>
          <w:tcPr>
            <w:tcW w:w="1440" w:type="dxa"/>
            <w:shd w:val="clear" w:color="auto" w:fill="auto"/>
            <w:noWrap/>
            <w:hideMark/>
          </w:tcPr>
          <w:p w14:paraId="0474FB54"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6DA77B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ability to prepare for and adapt to changing conditions and withstand and recover rapidly from disruptions such as deliberate attacks, accidents, or naturally occurring threats or incidents</w:t>
            </w:r>
          </w:p>
        </w:tc>
        <w:tc>
          <w:tcPr>
            <w:tcW w:w="3600" w:type="dxa"/>
            <w:shd w:val="clear" w:color="auto" w:fill="auto"/>
            <w:noWrap/>
            <w:hideMark/>
          </w:tcPr>
          <w:p w14:paraId="562F9C25"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القدرة على الإعداد والتأقلم والتكيف مع الظروف المتغيرة والصمود والتعافي بسرعة من التعطيلات مثل الهجمات المتعمدة والوقائع أو التهديدات أو الحوادث الطبيعية</w:t>
            </w:r>
          </w:p>
        </w:tc>
        <w:tc>
          <w:tcPr>
            <w:tcW w:w="1440" w:type="dxa"/>
            <w:shd w:val="clear" w:color="auto" w:fill="auto"/>
            <w:noWrap/>
            <w:hideMark/>
          </w:tcPr>
          <w:p w14:paraId="7B860A2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040B51D"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المرونة</w:t>
            </w:r>
          </w:p>
        </w:tc>
      </w:tr>
      <w:tr w:rsidR="007B5806" w:rsidRPr="007C33D9" w14:paraId="516E50AA" w14:textId="77777777" w:rsidTr="007B5806">
        <w:trPr>
          <w:trHeight w:val="300"/>
        </w:trPr>
        <w:tc>
          <w:tcPr>
            <w:tcW w:w="2160" w:type="dxa"/>
            <w:shd w:val="clear" w:color="auto" w:fill="auto"/>
            <w:noWrap/>
            <w:hideMark/>
          </w:tcPr>
          <w:p w14:paraId="6254EE9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response</w:t>
            </w:r>
          </w:p>
        </w:tc>
        <w:tc>
          <w:tcPr>
            <w:tcW w:w="1440" w:type="dxa"/>
            <w:shd w:val="clear" w:color="auto" w:fill="auto"/>
            <w:noWrap/>
            <w:hideMark/>
          </w:tcPr>
          <w:p w14:paraId="6F52E050"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97450C0"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actions taken by the security force to prevent intruder success</w:t>
            </w:r>
          </w:p>
        </w:tc>
        <w:tc>
          <w:tcPr>
            <w:tcW w:w="3600" w:type="dxa"/>
            <w:shd w:val="clear" w:color="auto" w:fill="auto"/>
            <w:noWrap/>
            <w:hideMark/>
          </w:tcPr>
          <w:p w14:paraId="5E4AC0F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مجموعة الأفعال التي تقوم بها القوة الأمنية لمنع العنصر المتسلل من النجاح في تحقيق هدفه</w:t>
            </w:r>
          </w:p>
        </w:tc>
        <w:tc>
          <w:tcPr>
            <w:tcW w:w="1440" w:type="dxa"/>
            <w:shd w:val="clear" w:color="auto" w:fill="auto"/>
            <w:noWrap/>
            <w:hideMark/>
          </w:tcPr>
          <w:p w14:paraId="74D9E785"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693DC10" w14:textId="77777777" w:rsidR="007B5806" w:rsidRPr="007C33D9" w:rsidRDefault="007B5806" w:rsidP="007B5806">
            <w:pPr>
              <w:bidi/>
              <w:spacing w:after="0" w:line="240" w:lineRule="auto"/>
              <w:rPr>
                <w:rFonts w:eastAsia="Times New Roman"/>
                <w:b/>
                <w:bCs/>
                <w:color w:val="000000"/>
              </w:rPr>
            </w:pPr>
            <w:proofErr w:type="spellStart"/>
            <w:r w:rsidRPr="007C33D9">
              <w:rPr>
                <w:rFonts w:eastAsia="Times New Roman"/>
                <w:b/>
                <w:bCs/>
                <w:color w:val="000000"/>
                <w:rtl/>
              </w:rPr>
              <w:t>الإستجابة</w:t>
            </w:r>
            <w:proofErr w:type="spellEnd"/>
          </w:p>
        </w:tc>
      </w:tr>
      <w:tr w:rsidR="007B5806" w:rsidRPr="007C33D9" w14:paraId="7231FB31" w14:textId="77777777" w:rsidTr="007B5806">
        <w:trPr>
          <w:trHeight w:val="300"/>
        </w:trPr>
        <w:tc>
          <w:tcPr>
            <w:tcW w:w="2160" w:type="dxa"/>
            <w:shd w:val="clear" w:color="auto" w:fill="auto"/>
            <w:noWrap/>
            <w:hideMark/>
          </w:tcPr>
          <w:p w14:paraId="1019777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sabotage</w:t>
            </w:r>
          </w:p>
        </w:tc>
        <w:tc>
          <w:tcPr>
            <w:tcW w:w="1440" w:type="dxa"/>
            <w:shd w:val="clear" w:color="auto" w:fill="auto"/>
            <w:noWrap/>
            <w:hideMark/>
          </w:tcPr>
          <w:p w14:paraId="3C0873F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B56520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deliberate and malicious destruction of property with the intent to cause harm to people, equipment, processes, and information with the intent to disrupt or stop operations of a facility</w:t>
            </w:r>
          </w:p>
        </w:tc>
        <w:tc>
          <w:tcPr>
            <w:tcW w:w="3600" w:type="dxa"/>
            <w:shd w:val="clear" w:color="auto" w:fill="auto"/>
            <w:noWrap/>
            <w:hideMark/>
          </w:tcPr>
          <w:p w14:paraId="2995BB53"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التدمير الخبيث المتعمد للمنشآت والمرافق بنية إلحاق الضرر بالأفراد والمعدات والوظائف الإجرائية والمعلومات بغرض الإخلال بسير العمليات والاجراءات بالمرافق الحيوية </w:t>
            </w:r>
          </w:p>
        </w:tc>
        <w:tc>
          <w:tcPr>
            <w:tcW w:w="1440" w:type="dxa"/>
            <w:shd w:val="clear" w:color="auto" w:fill="auto"/>
            <w:noWrap/>
            <w:hideMark/>
          </w:tcPr>
          <w:p w14:paraId="70401E6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6DAC7DB"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التخريب</w:t>
            </w:r>
          </w:p>
        </w:tc>
      </w:tr>
      <w:tr w:rsidR="007B5806" w:rsidRPr="007C33D9" w14:paraId="754ECCE9" w14:textId="77777777" w:rsidTr="007B5806">
        <w:trPr>
          <w:trHeight w:val="300"/>
        </w:trPr>
        <w:tc>
          <w:tcPr>
            <w:tcW w:w="2160" w:type="dxa"/>
            <w:shd w:val="clear" w:color="auto" w:fill="auto"/>
            <w:noWrap/>
            <w:hideMark/>
          </w:tcPr>
          <w:p w14:paraId="027E707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satisfactory</w:t>
            </w:r>
          </w:p>
        </w:tc>
        <w:tc>
          <w:tcPr>
            <w:tcW w:w="1440" w:type="dxa"/>
            <w:shd w:val="clear" w:color="auto" w:fill="auto"/>
            <w:noWrap/>
            <w:hideMark/>
          </w:tcPr>
          <w:p w14:paraId="47ACCA1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AD28850"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rating used in evaluating effectiveness of a physical protection system; means that all elements of the physical protection system are working effectively to maintain the expected level of security</w:t>
            </w:r>
          </w:p>
        </w:tc>
        <w:tc>
          <w:tcPr>
            <w:tcW w:w="3600" w:type="dxa"/>
            <w:shd w:val="clear" w:color="auto" w:fill="auto"/>
            <w:noWrap/>
            <w:hideMark/>
          </w:tcPr>
          <w:p w14:paraId="09C44460"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التقدير المستخدم في تقييم فعالية نظام الحماية المادية - يعني أن جميع عناصر نظام الأمن المادي تعمل بكفاءة للحفاظ على المستوى الأمني المتوقع.</w:t>
            </w:r>
          </w:p>
        </w:tc>
        <w:tc>
          <w:tcPr>
            <w:tcW w:w="1440" w:type="dxa"/>
            <w:shd w:val="clear" w:color="auto" w:fill="auto"/>
            <w:noWrap/>
            <w:hideMark/>
          </w:tcPr>
          <w:p w14:paraId="497FCC26"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6C7AD43"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تقدير مقبول</w:t>
            </w:r>
          </w:p>
        </w:tc>
      </w:tr>
      <w:tr w:rsidR="007B5806" w:rsidRPr="007C33D9" w14:paraId="30D0692F" w14:textId="77777777" w:rsidTr="007B5806">
        <w:trPr>
          <w:trHeight w:val="300"/>
        </w:trPr>
        <w:tc>
          <w:tcPr>
            <w:tcW w:w="2160" w:type="dxa"/>
            <w:shd w:val="clear" w:color="auto" w:fill="auto"/>
            <w:noWrap/>
            <w:hideMark/>
          </w:tcPr>
          <w:p w14:paraId="6B180439"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secondary critical assets</w:t>
            </w:r>
          </w:p>
        </w:tc>
        <w:tc>
          <w:tcPr>
            <w:tcW w:w="1440" w:type="dxa"/>
            <w:shd w:val="clear" w:color="auto" w:fill="auto"/>
            <w:noWrap/>
            <w:hideMark/>
          </w:tcPr>
          <w:p w14:paraId="1366E909"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E06A82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Secure areas that are accessible only after entrance through a primary </w:t>
            </w:r>
            <w:proofErr w:type="gramStart"/>
            <w:r w:rsidRPr="007C33D9">
              <w:rPr>
                <w:rFonts w:eastAsia="Times New Roman"/>
                <w:color w:val="000000"/>
              </w:rPr>
              <w:t>access controlled</w:t>
            </w:r>
            <w:proofErr w:type="gramEnd"/>
            <w:r w:rsidRPr="007C33D9">
              <w:rPr>
                <w:rFonts w:eastAsia="Times New Roman"/>
                <w:color w:val="000000"/>
              </w:rPr>
              <w:t xml:space="preserve"> entry</w:t>
            </w:r>
          </w:p>
        </w:tc>
        <w:tc>
          <w:tcPr>
            <w:tcW w:w="3600" w:type="dxa"/>
            <w:shd w:val="clear" w:color="auto" w:fill="auto"/>
            <w:noWrap/>
            <w:hideMark/>
          </w:tcPr>
          <w:p w14:paraId="106DCE9E"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المناطق الآمنة التي يمكن الوصول إليها فقط عن طريق المدخل الرئيسي للمنطقة الواقعة تحت السيطرة الأمنية</w:t>
            </w:r>
          </w:p>
        </w:tc>
        <w:tc>
          <w:tcPr>
            <w:tcW w:w="1440" w:type="dxa"/>
            <w:shd w:val="clear" w:color="auto" w:fill="auto"/>
            <w:noWrap/>
            <w:hideMark/>
          </w:tcPr>
          <w:p w14:paraId="5F9C2CFB"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576921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الأصول الثانوية ذات الأهمية الحرجة</w:t>
            </w:r>
          </w:p>
        </w:tc>
      </w:tr>
      <w:tr w:rsidR="007B5806" w:rsidRPr="007C33D9" w14:paraId="728DFB0F" w14:textId="77777777" w:rsidTr="007B5806">
        <w:trPr>
          <w:trHeight w:val="300"/>
        </w:trPr>
        <w:tc>
          <w:tcPr>
            <w:tcW w:w="2160" w:type="dxa"/>
            <w:shd w:val="clear" w:color="auto" w:fill="auto"/>
            <w:noWrap/>
            <w:hideMark/>
          </w:tcPr>
          <w:p w14:paraId="465FF336"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secure asset</w:t>
            </w:r>
          </w:p>
        </w:tc>
        <w:tc>
          <w:tcPr>
            <w:tcW w:w="1440" w:type="dxa"/>
            <w:shd w:val="clear" w:color="auto" w:fill="auto"/>
            <w:noWrap/>
            <w:hideMark/>
          </w:tcPr>
          <w:p w14:paraId="6A022ED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0CCC2B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person, structure, facility, information, material, or process requiring a high level of protection</w:t>
            </w:r>
          </w:p>
        </w:tc>
        <w:tc>
          <w:tcPr>
            <w:tcW w:w="3600" w:type="dxa"/>
            <w:shd w:val="clear" w:color="auto" w:fill="auto"/>
            <w:noWrap/>
            <w:hideMark/>
          </w:tcPr>
          <w:p w14:paraId="7A574FBB" w14:textId="77777777" w:rsidR="007B5806" w:rsidRPr="007C33D9" w:rsidRDefault="007B5806" w:rsidP="007B5806">
            <w:pPr>
              <w:bidi/>
              <w:spacing w:after="0" w:line="240" w:lineRule="auto"/>
              <w:rPr>
                <w:rFonts w:eastAsia="Times New Roman"/>
                <w:color w:val="000000"/>
              </w:rPr>
            </w:pPr>
            <w:proofErr w:type="gramStart"/>
            <w:r w:rsidRPr="007C33D9">
              <w:rPr>
                <w:rFonts w:eastAsia="Times New Roman"/>
                <w:color w:val="000000"/>
                <w:rtl/>
              </w:rPr>
              <w:t>الأفراد</w:t>
            </w:r>
            <w:proofErr w:type="gramEnd"/>
            <w:r w:rsidRPr="007C33D9">
              <w:rPr>
                <w:rFonts w:eastAsia="Times New Roman"/>
                <w:color w:val="000000"/>
                <w:rtl/>
              </w:rPr>
              <w:t xml:space="preserve"> أو المنشآت أو المرافق أو المعلومات أو المواد التي تتطلب مستويات عليا من الحماية </w:t>
            </w:r>
          </w:p>
        </w:tc>
        <w:tc>
          <w:tcPr>
            <w:tcW w:w="1440" w:type="dxa"/>
            <w:shd w:val="clear" w:color="auto" w:fill="auto"/>
            <w:noWrap/>
            <w:hideMark/>
          </w:tcPr>
          <w:p w14:paraId="029AA403"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192A9F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الأصول المؤمّنة</w:t>
            </w:r>
          </w:p>
        </w:tc>
      </w:tr>
      <w:tr w:rsidR="007B5806" w:rsidRPr="007C33D9" w14:paraId="7B7C6794" w14:textId="77777777" w:rsidTr="007B5806">
        <w:trPr>
          <w:trHeight w:val="300"/>
        </w:trPr>
        <w:tc>
          <w:tcPr>
            <w:tcW w:w="2160" w:type="dxa"/>
            <w:shd w:val="clear" w:color="auto" w:fill="auto"/>
            <w:noWrap/>
            <w:hideMark/>
          </w:tcPr>
          <w:p w14:paraId="4BE558F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security</w:t>
            </w:r>
          </w:p>
        </w:tc>
        <w:tc>
          <w:tcPr>
            <w:tcW w:w="1440" w:type="dxa"/>
            <w:shd w:val="clear" w:color="auto" w:fill="auto"/>
            <w:noWrap/>
            <w:hideMark/>
          </w:tcPr>
          <w:p w14:paraId="3893DA52"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B2B51A9"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The implementation of a set of procedures and processes that when taken </w:t>
            </w:r>
            <w:proofErr w:type="gramStart"/>
            <w:r w:rsidRPr="007C33D9">
              <w:rPr>
                <w:rFonts w:eastAsia="Times New Roman"/>
                <w:color w:val="000000"/>
              </w:rPr>
              <w:t>as a whole have</w:t>
            </w:r>
            <w:proofErr w:type="gramEnd"/>
            <w:r w:rsidRPr="007C33D9">
              <w:rPr>
                <w:rFonts w:eastAsia="Times New Roman"/>
                <w:color w:val="000000"/>
              </w:rPr>
              <w:t xml:space="preserve"> the effect of altering the ratio of undesirable events to total event based on identified risks, threats, vulnerabilities, and probability of an undesirable occurrence</w:t>
            </w:r>
          </w:p>
        </w:tc>
        <w:tc>
          <w:tcPr>
            <w:tcW w:w="3600" w:type="dxa"/>
            <w:shd w:val="clear" w:color="auto" w:fill="auto"/>
            <w:noWrap/>
            <w:hideMark/>
          </w:tcPr>
          <w:p w14:paraId="67E87A03"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تطبيق مجموعة إجراءات وتدابير يتعين اتخاذها بجملتها بغرض تغيير معدل وقوع الأحداث غير المرغوبة بالنسبة لإجمالي الحدث وفقاً للمخاطر أو التهديدات أو الثغرات التي تم تحديدها واحتمالية وقوع حوادث غير مرغوبة </w:t>
            </w:r>
          </w:p>
        </w:tc>
        <w:tc>
          <w:tcPr>
            <w:tcW w:w="1440" w:type="dxa"/>
            <w:shd w:val="clear" w:color="auto" w:fill="auto"/>
            <w:noWrap/>
            <w:hideMark/>
          </w:tcPr>
          <w:p w14:paraId="5C9DB91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9D2150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الأمن</w:t>
            </w:r>
          </w:p>
        </w:tc>
      </w:tr>
      <w:tr w:rsidR="007B5806" w:rsidRPr="007C33D9" w14:paraId="374B9374" w14:textId="77777777" w:rsidTr="007B5806">
        <w:trPr>
          <w:trHeight w:val="300"/>
        </w:trPr>
        <w:tc>
          <w:tcPr>
            <w:tcW w:w="2160" w:type="dxa"/>
            <w:shd w:val="clear" w:color="auto" w:fill="auto"/>
            <w:noWrap/>
            <w:hideMark/>
          </w:tcPr>
          <w:p w14:paraId="6E9E9D0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security control center</w:t>
            </w:r>
          </w:p>
        </w:tc>
        <w:tc>
          <w:tcPr>
            <w:tcW w:w="1440" w:type="dxa"/>
            <w:shd w:val="clear" w:color="auto" w:fill="auto"/>
            <w:noWrap/>
            <w:hideMark/>
          </w:tcPr>
          <w:p w14:paraId="55FA6CD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32EF5A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room or building that serves as the primary command and communication hub for all security-related information and systems</w:t>
            </w:r>
          </w:p>
        </w:tc>
        <w:tc>
          <w:tcPr>
            <w:tcW w:w="3600" w:type="dxa"/>
            <w:shd w:val="clear" w:color="auto" w:fill="auto"/>
            <w:noWrap/>
            <w:hideMark/>
          </w:tcPr>
          <w:p w14:paraId="3B922D2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غرفة أو مبنى يُستخدم كمقر رئيسي للقيادة والسيطرة الأمنية ومركز </w:t>
            </w:r>
            <w:proofErr w:type="spellStart"/>
            <w:r w:rsidRPr="007C33D9">
              <w:rPr>
                <w:rFonts w:eastAsia="Times New Roman"/>
                <w:color w:val="000000"/>
                <w:rtl/>
              </w:rPr>
              <w:t>للإتصالات</w:t>
            </w:r>
            <w:proofErr w:type="spellEnd"/>
            <w:r w:rsidRPr="007C33D9">
              <w:rPr>
                <w:rFonts w:eastAsia="Times New Roman"/>
                <w:color w:val="000000"/>
                <w:rtl/>
              </w:rPr>
              <w:t xml:space="preserve"> للتحكم في كافة المعلومات والأنظمة المتعلقة بالأمن</w:t>
            </w:r>
          </w:p>
        </w:tc>
        <w:tc>
          <w:tcPr>
            <w:tcW w:w="1440" w:type="dxa"/>
            <w:shd w:val="clear" w:color="auto" w:fill="auto"/>
            <w:noWrap/>
            <w:hideMark/>
          </w:tcPr>
          <w:p w14:paraId="71DB212F"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E950E1E"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مركز السيطرة الأمنية</w:t>
            </w:r>
          </w:p>
        </w:tc>
      </w:tr>
      <w:tr w:rsidR="007B5806" w:rsidRPr="007C33D9" w14:paraId="74E25262" w14:textId="77777777" w:rsidTr="007B5806">
        <w:trPr>
          <w:trHeight w:val="300"/>
        </w:trPr>
        <w:tc>
          <w:tcPr>
            <w:tcW w:w="2160" w:type="dxa"/>
            <w:shd w:val="clear" w:color="auto" w:fill="auto"/>
            <w:noWrap/>
            <w:hideMark/>
          </w:tcPr>
          <w:p w14:paraId="69649B09"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security countermeasures</w:t>
            </w:r>
          </w:p>
        </w:tc>
        <w:tc>
          <w:tcPr>
            <w:tcW w:w="1440" w:type="dxa"/>
            <w:shd w:val="clear" w:color="auto" w:fill="auto"/>
            <w:noWrap/>
            <w:hideMark/>
          </w:tcPr>
          <w:p w14:paraId="539C9690"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948FA8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action, measure, or device intended to reduce an identified risk</w:t>
            </w:r>
          </w:p>
        </w:tc>
        <w:tc>
          <w:tcPr>
            <w:tcW w:w="3600" w:type="dxa"/>
            <w:shd w:val="clear" w:color="auto" w:fill="auto"/>
            <w:noWrap/>
            <w:hideMark/>
          </w:tcPr>
          <w:p w14:paraId="3FC04D02"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مجموعة أفعال ومعايير أو أجهزة الغرض منها تقلل المخاطرة التي تم تحديدها</w:t>
            </w:r>
          </w:p>
        </w:tc>
        <w:tc>
          <w:tcPr>
            <w:tcW w:w="1440" w:type="dxa"/>
            <w:shd w:val="clear" w:color="auto" w:fill="auto"/>
            <w:noWrap/>
            <w:hideMark/>
          </w:tcPr>
          <w:p w14:paraId="4F572D80"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E79774B"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التدابير الأمنية المضادة</w:t>
            </w:r>
          </w:p>
        </w:tc>
      </w:tr>
      <w:tr w:rsidR="007B5806" w:rsidRPr="007C33D9" w14:paraId="15E0ECB8" w14:textId="77777777" w:rsidTr="007B5806">
        <w:trPr>
          <w:trHeight w:val="300"/>
        </w:trPr>
        <w:tc>
          <w:tcPr>
            <w:tcW w:w="2160" w:type="dxa"/>
            <w:shd w:val="clear" w:color="auto" w:fill="auto"/>
            <w:noWrap/>
            <w:hideMark/>
          </w:tcPr>
          <w:p w14:paraId="297F6726"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security force</w:t>
            </w:r>
          </w:p>
        </w:tc>
        <w:tc>
          <w:tcPr>
            <w:tcW w:w="1440" w:type="dxa"/>
            <w:shd w:val="clear" w:color="auto" w:fill="auto"/>
            <w:noWrap/>
            <w:hideMark/>
          </w:tcPr>
          <w:p w14:paraId="17A4E5DD"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C130695"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personnel-based security countermeasure</w:t>
            </w:r>
          </w:p>
        </w:tc>
        <w:tc>
          <w:tcPr>
            <w:tcW w:w="3600" w:type="dxa"/>
            <w:shd w:val="clear" w:color="auto" w:fill="auto"/>
            <w:noWrap/>
            <w:hideMark/>
          </w:tcPr>
          <w:p w14:paraId="70F05DEA"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إجراء أمني مضاد يعتمد على الأفراد</w:t>
            </w:r>
          </w:p>
        </w:tc>
        <w:tc>
          <w:tcPr>
            <w:tcW w:w="1440" w:type="dxa"/>
            <w:shd w:val="clear" w:color="auto" w:fill="auto"/>
            <w:noWrap/>
            <w:hideMark/>
          </w:tcPr>
          <w:p w14:paraId="504FC767"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FA19BC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القوة الأمنية</w:t>
            </w:r>
          </w:p>
        </w:tc>
      </w:tr>
      <w:tr w:rsidR="007B5806" w:rsidRPr="007C33D9" w14:paraId="34FC75B7" w14:textId="77777777" w:rsidTr="007B5806">
        <w:trPr>
          <w:trHeight w:val="300"/>
        </w:trPr>
        <w:tc>
          <w:tcPr>
            <w:tcW w:w="2160" w:type="dxa"/>
            <w:shd w:val="clear" w:color="auto" w:fill="auto"/>
            <w:noWrap/>
            <w:hideMark/>
          </w:tcPr>
          <w:p w14:paraId="70E60BC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security inspection and validation</w:t>
            </w:r>
          </w:p>
        </w:tc>
        <w:tc>
          <w:tcPr>
            <w:tcW w:w="1440" w:type="dxa"/>
            <w:shd w:val="clear" w:color="auto" w:fill="auto"/>
            <w:noWrap/>
            <w:hideMark/>
          </w:tcPr>
          <w:p w14:paraId="445E052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SIV</w:t>
            </w:r>
          </w:p>
        </w:tc>
        <w:tc>
          <w:tcPr>
            <w:tcW w:w="3600" w:type="dxa"/>
            <w:shd w:val="clear" w:color="auto" w:fill="auto"/>
            <w:noWrap/>
            <w:hideMark/>
          </w:tcPr>
          <w:p w14:paraId="65F9077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Security inspection and validation</w:t>
            </w:r>
          </w:p>
        </w:tc>
        <w:tc>
          <w:tcPr>
            <w:tcW w:w="3600" w:type="dxa"/>
            <w:shd w:val="clear" w:color="auto" w:fill="auto"/>
            <w:noWrap/>
            <w:hideMark/>
          </w:tcPr>
          <w:p w14:paraId="1DA0D0C1"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الفحص الأمني والتحقق</w:t>
            </w:r>
          </w:p>
        </w:tc>
        <w:tc>
          <w:tcPr>
            <w:tcW w:w="1440" w:type="dxa"/>
            <w:shd w:val="clear" w:color="auto" w:fill="auto"/>
            <w:noWrap/>
            <w:hideMark/>
          </w:tcPr>
          <w:p w14:paraId="3D753223"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التفتيش الأمني والتحقق/</w:t>
            </w:r>
            <w:r w:rsidRPr="007C33D9">
              <w:rPr>
                <w:rFonts w:eastAsia="Times New Roman"/>
                <w:b/>
                <w:bCs/>
                <w:color w:val="000000"/>
              </w:rPr>
              <w:t>SIV</w:t>
            </w:r>
          </w:p>
        </w:tc>
        <w:tc>
          <w:tcPr>
            <w:tcW w:w="2160" w:type="dxa"/>
            <w:shd w:val="clear" w:color="auto" w:fill="auto"/>
            <w:noWrap/>
            <w:hideMark/>
          </w:tcPr>
          <w:p w14:paraId="5411412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الفحص الأمني والتحقق</w:t>
            </w:r>
          </w:p>
        </w:tc>
      </w:tr>
      <w:tr w:rsidR="007B5806" w:rsidRPr="007C33D9" w14:paraId="63866192" w14:textId="77777777" w:rsidTr="007B5806">
        <w:trPr>
          <w:trHeight w:val="300"/>
        </w:trPr>
        <w:tc>
          <w:tcPr>
            <w:tcW w:w="2160" w:type="dxa"/>
            <w:shd w:val="clear" w:color="auto" w:fill="auto"/>
            <w:noWrap/>
            <w:hideMark/>
          </w:tcPr>
          <w:p w14:paraId="543CC871"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security inspection and validation program directive</w:t>
            </w:r>
          </w:p>
        </w:tc>
        <w:tc>
          <w:tcPr>
            <w:tcW w:w="1440" w:type="dxa"/>
            <w:shd w:val="clear" w:color="auto" w:fill="auto"/>
            <w:noWrap/>
            <w:hideMark/>
          </w:tcPr>
          <w:p w14:paraId="3AE28486"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F02CA9E"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written order for implementing and conducting a security inspection and validation program on a regular basis</w:t>
            </w:r>
          </w:p>
        </w:tc>
        <w:tc>
          <w:tcPr>
            <w:tcW w:w="3600" w:type="dxa"/>
            <w:shd w:val="clear" w:color="auto" w:fill="auto"/>
            <w:noWrap/>
            <w:hideMark/>
          </w:tcPr>
          <w:p w14:paraId="4923E33E"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هو مجموعة توجيهات مكتوبة بشأن تنفيذ وإجراء برنامج التحقق والفحص الأمني بصفة دورية</w:t>
            </w:r>
          </w:p>
        </w:tc>
        <w:tc>
          <w:tcPr>
            <w:tcW w:w="1440" w:type="dxa"/>
            <w:shd w:val="clear" w:color="auto" w:fill="auto"/>
            <w:noWrap/>
            <w:hideMark/>
          </w:tcPr>
          <w:p w14:paraId="00D1A52F"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5BA9F8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الدليل الخاص ببرنامج الفحص الأمني والتحقق</w:t>
            </w:r>
          </w:p>
        </w:tc>
      </w:tr>
      <w:tr w:rsidR="007B5806" w:rsidRPr="007C33D9" w14:paraId="15CEEBFA" w14:textId="77777777" w:rsidTr="007B5806">
        <w:trPr>
          <w:trHeight w:val="300"/>
        </w:trPr>
        <w:tc>
          <w:tcPr>
            <w:tcW w:w="2160" w:type="dxa"/>
            <w:shd w:val="clear" w:color="auto" w:fill="auto"/>
            <w:noWrap/>
            <w:hideMark/>
          </w:tcPr>
          <w:p w14:paraId="355A027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security policy</w:t>
            </w:r>
          </w:p>
        </w:tc>
        <w:tc>
          <w:tcPr>
            <w:tcW w:w="1440" w:type="dxa"/>
            <w:shd w:val="clear" w:color="auto" w:fill="auto"/>
            <w:noWrap/>
            <w:hideMark/>
          </w:tcPr>
          <w:p w14:paraId="591DD424"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860506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set of rules and practices that specify or regulate how a system or organization provides security services to protect sensitive and critical system resources</w:t>
            </w:r>
          </w:p>
        </w:tc>
        <w:tc>
          <w:tcPr>
            <w:tcW w:w="3600" w:type="dxa"/>
            <w:shd w:val="clear" w:color="auto" w:fill="auto"/>
            <w:noWrap/>
            <w:hideMark/>
          </w:tcPr>
          <w:p w14:paraId="51F96BC3"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مجموعة قواعد وممارسات تحدد أو تنظم كيفية قيام النظام أو المؤسسة بتوفير الخدمات الأمنية لحماية الموارد الخاصة بالأنظمة الحرجة والحساسة </w:t>
            </w:r>
          </w:p>
        </w:tc>
        <w:tc>
          <w:tcPr>
            <w:tcW w:w="1440" w:type="dxa"/>
            <w:shd w:val="clear" w:color="auto" w:fill="auto"/>
            <w:noWrap/>
            <w:hideMark/>
          </w:tcPr>
          <w:p w14:paraId="68A80AB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1AF86B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السياسة الأمنية</w:t>
            </w:r>
          </w:p>
        </w:tc>
      </w:tr>
      <w:tr w:rsidR="007B5806" w:rsidRPr="007C33D9" w14:paraId="19A3D751" w14:textId="77777777" w:rsidTr="007B5806">
        <w:trPr>
          <w:trHeight w:val="300"/>
        </w:trPr>
        <w:tc>
          <w:tcPr>
            <w:tcW w:w="2160" w:type="dxa"/>
            <w:shd w:val="clear" w:color="auto" w:fill="auto"/>
            <w:noWrap/>
            <w:hideMark/>
          </w:tcPr>
          <w:p w14:paraId="3E3F87B9"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seismic sensor</w:t>
            </w:r>
          </w:p>
        </w:tc>
        <w:tc>
          <w:tcPr>
            <w:tcW w:w="1440" w:type="dxa"/>
            <w:shd w:val="clear" w:color="auto" w:fill="auto"/>
            <w:noWrap/>
            <w:hideMark/>
          </w:tcPr>
          <w:p w14:paraId="26469D00"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E01C5D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device that detects vibrations in the ground, most often used to detect the magnitude of earthquakes</w:t>
            </w:r>
          </w:p>
        </w:tc>
        <w:tc>
          <w:tcPr>
            <w:tcW w:w="3600" w:type="dxa"/>
            <w:shd w:val="clear" w:color="auto" w:fill="auto"/>
            <w:noWrap/>
            <w:hideMark/>
          </w:tcPr>
          <w:p w14:paraId="250FB5D4"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جهاز يقوم برصد الترددات </w:t>
            </w:r>
            <w:proofErr w:type="spellStart"/>
            <w:r w:rsidRPr="007C33D9">
              <w:rPr>
                <w:rFonts w:eastAsia="Times New Roman"/>
                <w:color w:val="000000"/>
                <w:rtl/>
              </w:rPr>
              <w:t>والإهتزازات</w:t>
            </w:r>
            <w:proofErr w:type="spellEnd"/>
            <w:r w:rsidRPr="007C33D9">
              <w:rPr>
                <w:rFonts w:eastAsia="Times New Roman"/>
                <w:color w:val="000000"/>
                <w:rtl/>
              </w:rPr>
              <w:t xml:space="preserve"> الأرضية ويستخدم عادة لرصد قوة الزلازل</w:t>
            </w:r>
          </w:p>
        </w:tc>
        <w:tc>
          <w:tcPr>
            <w:tcW w:w="1440" w:type="dxa"/>
            <w:shd w:val="clear" w:color="auto" w:fill="auto"/>
            <w:noWrap/>
            <w:hideMark/>
          </w:tcPr>
          <w:p w14:paraId="66BF4F1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4494333"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 xml:space="preserve">جهاز </w:t>
            </w:r>
            <w:proofErr w:type="spellStart"/>
            <w:r w:rsidRPr="007C33D9">
              <w:rPr>
                <w:rFonts w:eastAsia="Times New Roman"/>
                <w:b/>
                <w:bCs/>
                <w:color w:val="000000"/>
                <w:rtl/>
              </w:rPr>
              <w:t>الإستشعار</w:t>
            </w:r>
            <w:proofErr w:type="spellEnd"/>
            <w:r w:rsidRPr="007C33D9">
              <w:rPr>
                <w:rFonts w:eastAsia="Times New Roman"/>
                <w:b/>
                <w:bCs/>
                <w:color w:val="000000"/>
                <w:rtl/>
              </w:rPr>
              <w:t xml:space="preserve"> الزلزالي</w:t>
            </w:r>
          </w:p>
        </w:tc>
      </w:tr>
      <w:tr w:rsidR="007B5806" w:rsidRPr="007C33D9" w14:paraId="4E16AA02" w14:textId="77777777" w:rsidTr="007B5806">
        <w:trPr>
          <w:trHeight w:val="300"/>
        </w:trPr>
        <w:tc>
          <w:tcPr>
            <w:tcW w:w="2160" w:type="dxa"/>
            <w:shd w:val="clear" w:color="auto" w:fill="auto"/>
            <w:noWrap/>
            <w:hideMark/>
          </w:tcPr>
          <w:p w14:paraId="3D88057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shock front</w:t>
            </w:r>
          </w:p>
        </w:tc>
        <w:tc>
          <w:tcPr>
            <w:tcW w:w="1440" w:type="dxa"/>
            <w:shd w:val="clear" w:color="auto" w:fill="auto"/>
            <w:noWrap/>
            <w:hideMark/>
          </w:tcPr>
          <w:p w14:paraId="26463AD6"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F4BFBB5"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leading edge of a blast wave; made of compressed gasses</w:t>
            </w:r>
          </w:p>
        </w:tc>
        <w:tc>
          <w:tcPr>
            <w:tcW w:w="3600" w:type="dxa"/>
            <w:shd w:val="clear" w:color="auto" w:fill="auto"/>
            <w:noWrap/>
            <w:hideMark/>
          </w:tcPr>
          <w:p w14:paraId="51043208"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الحافة الرئيسية لموجة </w:t>
            </w:r>
            <w:proofErr w:type="spellStart"/>
            <w:r w:rsidRPr="007C33D9">
              <w:rPr>
                <w:rFonts w:eastAsia="Times New Roman"/>
                <w:color w:val="000000"/>
                <w:rtl/>
              </w:rPr>
              <w:t>الإنفجار</w:t>
            </w:r>
            <w:proofErr w:type="spellEnd"/>
            <w:r w:rsidRPr="007C33D9">
              <w:rPr>
                <w:rFonts w:eastAsia="Times New Roman"/>
                <w:color w:val="000000"/>
                <w:rtl/>
              </w:rPr>
              <w:t xml:space="preserve"> وتتكون من غازات مضغوطة</w:t>
            </w:r>
          </w:p>
        </w:tc>
        <w:tc>
          <w:tcPr>
            <w:tcW w:w="1440" w:type="dxa"/>
            <w:shd w:val="clear" w:color="auto" w:fill="auto"/>
            <w:noWrap/>
            <w:hideMark/>
          </w:tcPr>
          <w:p w14:paraId="290050AC"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C23A25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مقدمة الصدمة</w:t>
            </w:r>
          </w:p>
        </w:tc>
      </w:tr>
      <w:tr w:rsidR="007B5806" w:rsidRPr="007C33D9" w14:paraId="3B41D46E" w14:textId="77777777" w:rsidTr="007B5806">
        <w:trPr>
          <w:trHeight w:val="300"/>
        </w:trPr>
        <w:tc>
          <w:tcPr>
            <w:tcW w:w="2160" w:type="dxa"/>
            <w:shd w:val="clear" w:color="auto" w:fill="auto"/>
            <w:noWrap/>
            <w:hideMark/>
          </w:tcPr>
          <w:p w14:paraId="5684EB7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shrapnel</w:t>
            </w:r>
          </w:p>
        </w:tc>
        <w:tc>
          <w:tcPr>
            <w:tcW w:w="1440" w:type="dxa"/>
            <w:shd w:val="clear" w:color="auto" w:fill="auto"/>
            <w:noWrap/>
            <w:hideMark/>
          </w:tcPr>
          <w:p w14:paraId="444AEF4E"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9CB5576"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Materials such as nails, ball bearings, or fence staples included in the </w:t>
            </w:r>
            <w:r w:rsidRPr="007C33D9">
              <w:rPr>
                <w:rFonts w:eastAsia="Times New Roman"/>
                <w:color w:val="000000"/>
              </w:rPr>
              <w:lastRenderedPageBreak/>
              <w:t>construction of a bomb to produce uniform fragments that will be carried outward by the blast wave that are intended to deliberately inflict additional personal and property damage</w:t>
            </w:r>
          </w:p>
        </w:tc>
        <w:tc>
          <w:tcPr>
            <w:tcW w:w="3600" w:type="dxa"/>
            <w:shd w:val="clear" w:color="auto" w:fill="auto"/>
            <w:noWrap/>
            <w:hideMark/>
          </w:tcPr>
          <w:p w14:paraId="589A465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lastRenderedPageBreak/>
              <w:t xml:space="preserve">تتكون من مواد مثل المسامير أو الكريات المعدنية أو مسامير السياجات المعدنية وتستخدم في صنع </w:t>
            </w:r>
            <w:r w:rsidRPr="007C33D9">
              <w:rPr>
                <w:rFonts w:eastAsia="Times New Roman"/>
                <w:color w:val="000000"/>
                <w:rtl/>
              </w:rPr>
              <w:lastRenderedPageBreak/>
              <w:t>قنبلة لتوليد شظايا متسقة تحملها موجة الانفجار لكي يتم إلحاق الضرر المتعمد لعدد إضافي من الأفراد والممتلكات</w:t>
            </w:r>
          </w:p>
        </w:tc>
        <w:tc>
          <w:tcPr>
            <w:tcW w:w="1440" w:type="dxa"/>
            <w:shd w:val="clear" w:color="auto" w:fill="auto"/>
            <w:noWrap/>
            <w:hideMark/>
          </w:tcPr>
          <w:p w14:paraId="31895378"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C53F097"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قذيفة شظية</w:t>
            </w:r>
          </w:p>
        </w:tc>
      </w:tr>
      <w:tr w:rsidR="007B5806" w:rsidRPr="007C33D9" w14:paraId="27D32664" w14:textId="77777777" w:rsidTr="007B5806">
        <w:trPr>
          <w:trHeight w:val="300"/>
        </w:trPr>
        <w:tc>
          <w:tcPr>
            <w:tcW w:w="2160" w:type="dxa"/>
            <w:shd w:val="clear" w:color="auto" w:fill="auto"/>
            <w:noWrap/>
            <w:hideMark/>
          </w:tcPr>
          <w:p w14:paraId="677F584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spoofing</w:t>
            </w:r>
          </w:p>
        </w:tc>
        <w:tc>
          <w:tcPr>
            <w:tcW w:w="1440" w:type="dxa"/>
            <w:shd w:val="clear" w:color="auto" w:fill="auto"/>
            <w:noWrap/>
            <w:hideMark/>
          </w:tcPr>
          <w:p w14:paraId="1B6B61B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1912206"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act of passing through a sensor’s normal detection zone without triggering the alarm</w:t>
            </w:r>
          </w:p>
        </w:tc>
        <w:tc>
          <w:tcPr>
            <w:tcW w:w="3600" w:type="dxa"/>
            <w:shd w:val="clear" w:color="auto" w:fill="auto"/>
            <w:noWrap/>
            <w:hideMark/>
          </w:tcPr>
          <w:p w14:paraId="37D2E08D"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تحايل لتحقيق النفاذ أي المرور عبر نطاق الرصد الطبيعي لجهاز </w:t>
            </w:r>
            <w:proofErr w:type="spellStart"/>
            <w:r w:rsidRPr="007C33D9">
              <w:rPr>
                <w:rFonts w:eastAsia="Times New Roman"/>
                <w:color w:val="000000"/>
                <w:rtl/>
              </w:rPr>
              <w:t>الإستشعار</w:t>
            </w:r>
            <w:proofErr w:type="spellEnd"/>
            <w:r w:rsidRPr="007C33D9">
              <w:rPr>
                <w:rFonts w:eastAsia="Times New Roman"/>
                <w:color w:val="000000"/>
                <w:rtl/>
              </w:rPr>
              <w:t xml:space="preserve"> بدون تنبيه جهاز الإنذار</w:t>
            </w:r>
          </w:p>
        </w:tc>
        <w:tc>
          <w:tcPr>
            <w:tcW w:w="1440" w:type="dxa"/>
            <w:shd w:val="clear" w:color="auto" w:fill="auto"/>
            <w:noWrap/>
            <w:hideMark/>
          </w:tcPr>
          <w:p w14:paraId="2FFD46AF"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28D752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الاحتيال في النقل</w:t>
            </w:r>
          </w:p>
        </w:tc>
      </w:tr>
      <w:tr w:rsidR="007B5806" w:rsidRPr="007C33D9" w14:paraId="4691613F" w14:textId="77777777" w:rsidTr="007B5806">
        <w:trPr>
          <w:trHeight w:val="300"/>
        </w:trPr>
        <w:tc>
          <w:tcPr>
            <w:tcW w:w="2160" w:type="dxa"/>
            <w:shd w:val="clear" w:color="auto" w:fill="auto"/>
            <w:noWrap/>
            <w:hideMark/>
          </w:tcPr>
          <w:p w14:paraId="6A74950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stealth</w:t>
            </w:r>
          </w:p>
        </w:tc>
        <w:tc>
          <w:tcPr>
            <w:tcW w:w="1440" w:type="dxa"/>
            <w:shd w:val="clear" w:color="auto" w:fill="auto"/>
            <w:noWrap/>
            <w:hideMark/>
          </w:tcPr>
          <w:p w14:paraId="1586316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822A3B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 act of completing an adversarial task without being noticed, or going undetected</w:t>
            </w:r>
          </w:p>
        </w:tc>
        <w:tc>
          <w:tcPr>
            <w:tcW w:w="3600" w:type="dxa"/>
            <w:shd w:val="clear" w:color="auto" w:fill="auto"/>
            <w:noWrap/>
            <w:hideMark/>
          </w:tcPr>
          <w:p w14:paraId="43EFBF7B" w14:textId="77777777" w:rsidR="007B5806" w:rsidRPr="007C33D9" w:rsidRDefault="007B5806" w:rsidP="007B5806">
            <w:pPr>
              <w:bidi/>
              <w:spacing w:after="0" w:line="240" w:lineRule="auto"/>
              <w:rPr>
                <w:rFonts w:eastAsia="Times New Roman"/>
                <w:color w:val="000000"/>
              </w:rPr>
            </w:pPr>
            <w:proofErr w:type="spellStart"/>
            <w:r w:rsidRPr="007C33D9">
              <w:rPr>
                <w:rFonts w:eastAsia="Times New Roman"/>
                <w:color w:val="000000"/>
                <w:rtl/>
              </w:rPr>
              <w:t>هى</w:t>
            </w:r>
            <w:proofErr w:type="spellEnd"/>
            <w:r w:rsidRPr="007C33D9">
              <w:rPr>
                <w:rFonts w:eastAsia="Times New Roman"/>
                <w:color w:val="000000"/>
                <w:rtl/>
              </w:rPr>
              <w:t xml:space="preserve"> عمل تسللي ينطوي على كافة عناصر المهمة التي يقوم بها الخصم دون أن يلاحظ أو يكتشف.</w:t>
            </w:r>
          </w:p>
        </w:tc>
        <w:tc>
          <w:tcPr>
            <w:tcW w:w="1440" w:type="dxa"/>
            <w:shd w:val="clear" w:color="auto" w:fill="auto"/>
            <w:noWrap/>
            <w:hideMark/>
          </w:tcPr>
          <w:p w14:paraId="5F91B24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370B9B6"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الخلسة</w:t>
            </w:r>
          </w:p>
        </w:tc>
      </w:tr>
      <w:tr w:rsidR="007B5806" w:rsidRPr="007C33D9" w14:paraId="45B3480C" w14:textId="77777777" w:rsidTr="007B5806">
        <w:trPr>
          <w:trHeight w:val="300"/>
        </w:trPr>
        <w:tc>
          <w:tcPr>
            <w:tcW w:w="2160" w:type="dxa"/>
            <w:shd w:val="clear" w:color="auto" w:fill="auto"/>
            <w:noWrap/>
            <w:hideMark/>
          </w:tcPr>
          <w:p w14:paraId="524C778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subject matter expert</w:t>
            </w:r>
          </w:p>
        </w:tc>
        <w:tc>
          <w:tcPr>
            <w:tcW w:w="1440" w:type="dxa"/>
            <w:shd w:val="clear" w:color="auto" w:fill="auto"/>
            <w:noWrap/>
            <w:hideMark/>
          </w:tcPr>
          <w:p w14:paraId="5A92D82D"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SME</w:t>
            </w:r>
          </w:p>
        </w:tc>
        <w:tc>
          <w:tcPr>
            <w:tcW w:w="3600" w:type="dxa"/>
            <w:shd w:val="clear" w:color="auto" w:fill="auto"/>
            <w:noWrap/>
            <w:hideMark/>
          </w:tcPr>
          <w:p w14:paraId="4E7C178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Person with real expert knowledge about what it takes to do a particular job </w:t>
            </w:r>
          </w:p>
        </w:tc>
        <w:tc>
          <w:tcPr>
            <w:tcW w:w="3600" w:type="dxa"/>
            <w:shd w:val="clear" w:color="auto" w:fill="auto"/>
            <w:noWrap/>
            <w:hideMark/>
          </w:tcPr>
          <w:p w14:paraId="099F8670"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خبير له مهارات تخصصية حقيقية تتعلق بالقيام بوظائف محددة </w:t>
            </w:r>
          </w:p>
        </w:tc>
        <w:tc>
          <w:tcPr>
            <w:tcW w:w="1440" w:type="dxa"/>
            <w:shd w:val="clear" w:color="auto" w:fill="auto"/>
            <w:noWrap/>
            <w:hideMark/>
          </w:tcPr>
          <w:p w14:paraId="47F53BD9"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SME</w:t>
            </w:r>
          </w:p>
        </w:tc>
        <w:tc>
          <w:tcPr>
            <w:tcW w:w="2160" w:type="dxa"/>
            <w:shd w:val="clear" w:color="auto" w:fill="auto"/>
            <w:noWrap/>
            <w:hideMark/>
          </w:tcPr>
          <w:p w14:paraId="2605C069"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خبير في مجال معين</w:t>
            </w:r>
          </w:p>
        </w:tc>
      </w:tr>
      <w:tr w:rsidR="007B5806" w:rsidRPr="007C33D9" w14:paraId="39CB5B62" w14:textId="77777777" w:rsidTr="007B5806">
        <w:trPr>
          <w:trHeight w:val="300"/>
        </w:trPr>
        <w:tc>
          <w:tcPr>
            <w:tcW w:w="2160" w:type="dxa"/>
            <w:shd w:val="clear" w:color="auto" w:fill="auto"/>
            <w:noWrap/>
            <w:hideMark/>
          </w:tcPr>
          <w:p w14:paraId="09DFCE47"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surveillance</w:t>
            </w:r>
          </w:p>
        </w:tc>
        <w:tc>
          <w:tcPr>
            <w:tcW w:w="1440" w:type="dxa"/>
            <w:shd w:val="clear" w:color="auto" w:fill="auto"/>
            <w:noWrap/>
            <w:hideMark/>
          </w:tcPr>
          <w:p w14:paraId="69F92C11"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71C83CF"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monitoring of a person, facility, or area with the intent of gathering information, generally through discreet observation</w:t>
            </w:r>
          </w:p>
        </w:tc>
        <w:tc>
          <w:tcPr>
            <w:tcW w:w="3600" w:type="dxa"/>
            <w:shd w:val="clear" w:color="auto" w:fill="auto"/>
            <w:noWrap/>
            <w:hideMark/>
          </w:tcPr>
          <w:p w14:paraId="3BF96ACD"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مراقبة شخص أو منشأة أو منطقة بهدف جمع معلومات، ويكون ذلك عموما من خلال الملاحظة الخفية.</w:t>
            </w:r>
          </w:p>
        </w:tc>
        <w:tc>
          <w:tcPr>
            <w:tcW w:w="1440" w:type="dxa"/>
            <w:shd w:val="clear" w:color="auto" w:fill="auto"/>
            <w:noWrap/>
            <w:hideMark/>
          </w:tcPr>
          <w:p w14:paraId="6A8302B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F0B912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المراقبة</w:t>
            </w:r>
          </w:p>
        </w:tc>
      </w:tr>
      <w:tr w:rsidR="007B5806" w:rsidRPr="007C33D9" w14:paraId="08265C39" w14:textId="77777777" w:rsidTr="007B5806">
        <w:trPr>
          <w:trHeight w:val="300"/>
        </w:trPr>
        <w:tc>
          <w:tcPr>
            <w:tcW w:w="2160" w:type="dxa"/>
            <w:shd w:val="clear" w:color="auto" w:fill="auto"/>
            <w:noWrap/>
            <w:hideMark/>
          </w:tcPr>
          <w:p w14:paraId="497D818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surveillance detection</w:t>
            </w:r>
          </w:p>
        </w:tc>
        <w:tc>
          <w:tcPr>
            <w:tcW w:w="1440" w:type="dxa"/>
            <w:shd w:val="clear" w:color="auto" w:fill="auto"/>
            <w:noWrap/>
            <w:hideMark/>
          </w:tcPr>
          <w:p w14:paraId="6EDE604B"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421180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defensive security operation used to determine whether a person or persons are conducting hostile surveillance; conducted temporarily or (for some critical infrastructures) permanently by an individual or full-time by a trained team to observe, recognize, and confirm suspicious activities</w:t>
            </w:r>
          </w:p>
        </w:tc>
        <w:tc>
          <w:tcPr>
            <w:tcW w:w="3600" w:type="dxa"/>
            <w:shd w:val="clear" w:color="auto" w:fill="auto"/>
            <w:noWrap/>
            <w:hideMark/>
          </w:tcPr>
          <w:p w14:paraId="64A49FD5"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عملية أمنية دفاعية تيم القيام بها للتحقق من قيام فرد أو عدة أفراد بعمليات الرصد العدائي أم لا ويكون ذلك إما بشكل مؤقت وفردي أو من جانب فريق متخصص مدرّب على عمليات المراقبة والتعرف وتأكيد النشاطات المثيرة للشبهة أو الريبة</w:t>
            </w:r>
          </w:p>
        </w:tc>
        <w:tc>
          <w:tcPr>
            <w:tcW w:w="1440" w:type="dxa"/>
            <w:shd w:val="clear" w:color="auto" w:fill="auto"/>
            <w:noWrap/>
            <w:hideMark/>
          </w:tcPr>
          <w:p w14:paraId="1A94AAE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46D8223"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كشف الرصد</w:t>
            </w:r>
          </w:p>
        </w:tc>
      </w:tr>
      <w:tr w:rsidR="007B5806" w:rsidRPr="007C33D9" w14:paraId="33C13857" w14:textId="77777777" w:rsidTr="007B5806">
        <w:trPr>
          <w:trHeight w:val="300"/>
        </w:trPr>
        <w:tc>
          <w:tcPr>
            <w:tcW w:w="2160" w:type="dxa"/>
            <w:shd w:val="clear" w:color="auto" w:fill="auto"/>
            <w:noWrap/>
            <w:hideMark/>
          </w:tcPr>
          <w:p w14:paraId="42ACB29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surveillant</w:t>
            </w:r>
          </w:p>
        </w:tc>
        <w:tc>
          <w:tcPr>
            <w:tcW w:w="1440" w:type="dxa"/>
            <w:shd w:val="clear" w:color="auto" w:fill="auto"/>
            <w:noWrap/>
            <w:hideMark/>
          </w:tcPr>
          <w:p w14:paraId="764B9042"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BEA3288"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person conducting surveillance</w:t>
            </w:r>
          </w:p>
        </w:tc>
        <w:tc>
          <w:tcPr>
            <w:tcW w:w="3600" w:type="dxa"/>
            <w:shd w:val="clear" w:color="auto" w:fill="auto"/>
            <w:noWrap/>
            <w:hideMark/>
          </w:tcPr>
          <w:p w14:paraId="72A15D4D"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الشخص الذي يقوم بالرصد</w:t>
            </w:r>
          </w:p>
        </w:tc>
        <w:tc>
          <w:tcPr>
            <w:tcW w:w="1440" w:type="dxa"/>
            <w:shd w:val="clear" w:color="auto" w:fill="auto"/>
            <w:noWrap/>
            <w:hideMark/>
          </w:tcPr>
          <w:p w14:paraId="33854145"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A25B5EE"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الراصِد</w:t>
            </w:r>
          </w:p>
        </w:tc>
      </w:tr>
      <w:tr w:rsidR="007B5806" w:rsidRPr="007C33D9" w14:paraId="7F15C406" w14:textId="77777777" w:rsidTr="007B5806">
        <w:trPr>
          <w:trHeight w:val="300"/>
        </w:trPr>
        <w:tc>
          <w:tcPr>
            <w:tcW w:w="2160" w:type="dxa"/>
            <w:shd w:val="clear" w:color="auto" w:fill="auto"/>
            <w:noWrap/>
            <w:hideMark/>
          </w:tcPr>
          <w:p w14:paraId="169B230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suspicious activity</w:t>
            </w:r>
          </w:p>
        </w:tc>
        <w:tc>
          <w:tcPr>
            <w:tcW w:w="1440" w:type="dxa"/>
            <w:shd w:val="clear" w:color="auto" w:fill="auto"/>
            <w:noWrap/>
            <w:hideMark/>
          </w:tcPr>
          <w:p w14:paraId="589B403F"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6FC8B06"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Any observed behavior that could indicate terrorism or terrorism-related crime</w:t>
            </w:r>
          </w:p>
        </w:tc>
        <w:tc>
          <w:tcPr>
            <w:tcW w:w="3600" w:type="dxa"/>
            <w:shd w:val="clear" w:color="auto" w:fill="auto"/>
            <w:noWrap/>
            <w:hideMark/>
          </w:tcPr>
          <w:p w14:paraId="316E52BA"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أي سلوك ملحوظ ينم عن عمل إرهابي أو جريمة متصلة بالإرهاب</w:t>
            </w:r>
          </w:p>
        </w:tc>
        <w:tc>
          <w:tcPr>
            <w:tcW w:w="1440" w:type="dxa"/>
            <w:shd w:val="clear" w:color="auto" w:fill="auto"/>
            <w:noWrap/>
            <w:hideMark/>
          </w:tcPr>
          <w:p w14:paraId="7068727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1FC820B"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نشاط مثير للشبهة</w:t>
            </w:r>
          </w:p>
        </w:tc>
      </w:tr>
      <w:tr w:rsidR="007B5806" w:rsidRPr="007C33D9" w14:paraId="0A20FDC2" w14:textId="77777777" w:rsidTr="007B5806">
        <w:trPr>
          <w:trHeight w:val="300"/>
        </w:trPr>
        <w:tc>
          <w:tcPr>
            <w:tcW w:w="2160" w:type="dxa"/>
            <w:shd w:val="clear" w:color="auto" w:fill="auto"/>
            <w:noWrap/>
            <w:hideMark/>
          </w:tcPr>
          <w:p w14:paraId="010E06E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switches</w:t>
            </w:r>
          </w:p>
        </w:tc>
        <w:tc>
          <w:tcPr>
            <w:tcW w:w="1440" w:type="dxa"/>
            <w:shd w:val="clear" w:color="auto" w:fill="auto"/>
            <w:noWrap/>
            <w:hideMark/>
          </w:tcPr>
          <w:p w14:paraId="122B94FA"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CFEF21F"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IED component that is used to make, break, or change a connection between the power source, initiator, and main charge</w:t>
            </w:r>
          </w:p>
        </w:tc>
        <w:tc>
          <w:tcPr>
            <w:tcW w:w="3600" w:type="dxa"/>
            <w:shd w:val="clear" w:color="auto" w:fill="auto"/>
            <w:noWrap/>
            <w:hideMark/>
          </w:tcPr>
          <w:p w14:paraId="4B9B5030"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المفتاح هو مكون من مكونات الجهاز المفجر المرتجل، وهو يستخدم لعمل الوصلة أو قطعها أو تغييرها بين مصدر الطاقة والبادئ والشحنة الرئيسية.</w:t>
            </w:r>
          </w:p>
        </w:tc>
        <w:tc>
          <w:tcPr>
            <w:tcW w:w="1440" w:type="dxa"/>
            <w:shd w:val="clear" w:color="auto" w:fill="auto"/>
            <w:noWrap/>
            <w:hideMark/>
          </w:tcPr>
          <w:p w14:paraId="2060171F"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163BB9B"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المفتاح</w:t>
            </w:r>
          </w:p>
        </w:tc>
      </w:tr>
      <w:tr w:rsidR="007B5806" w:rsidRPr="007C33D9" w14:paraId="6B35870F" w14:textId="77777777" w:rsidTr="007B5806">
        <w:trPr>
          <w:trHeight w:val="300"/>
        </w:trPr>
        <w:tc>
          <w:tcPr>
            <w:tcW w:w="2160" w:type="dxa"/>
            <w:shd w:val="clear" w:color="auto" w:fill="auto"/>
            <w:noWrap/>
            <w:hideMark/>
          </w:tcPr>
          <w:p w14:paraId="2EB3A3CA" w14:textId="77777777" w:rsidR="007B5806" w:rsidRPr="007C33D9" w:rsidRDefault="007B5806" w:rsidP="007B5806">
            <w:pPr>
              <w:spacing w:after="0" w:line="240" w:lineRule="auto"/>
              <w:rPr>
                <w:rFonts w:eastAsia="Times New Roman"/>
                <w:b/>
                <w:bCs/>
                <w:color w:val="000000"/>
              </w:rPr>
            </w:pPr>
            <w:proofErr w:type="spellStart"/>
            <w:r w:rsidRPr="007C33D9">
              <w:rPr>
                <w:rFonts w:eastAsia="Times New Roman"/>
                <w:b/>
                <w:bCs/>
                <w:color w:val="000000"/>
              </w:rPr>
              <w:t>TeachBack</w:t>
            </w:r>
            <w:proofErr w:type="spellEnd"/>
          </w:p>
        </w:tc>
        <w:tc>
          <w:tcPr>
            <w:tcW w:w="1440" w:type="dxa"/>
            <w:shd w:val="clear" w:color="auto" w:fill="auto"/>
            <w:noWrap/>
            <w:hideMark/>
          </w:tcPr>
          <w:p w14:paraId="3C9F4B95"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46236CBE"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 xml:space="preserve">A </w:t>
            </w:r>
            <w:proofErr w:type="spellStart"/>
            <w:r w:rsidRPr="007C33D9">
              <w:rPr>
                <w:rFonts w:eastAsia="Times New Roman"/>
                <w:color w:val="000000"/>
              </w:rPr>
              <w:t>TeachBack</w:t>
            </w:r>
            <w:proofErr w:type="spellEnd"/>
            <w:r w:rsidRPr="007C33D9">
              <w:rPr>
                <w:rFonts w:eastAsia="Times New Roman"/>
                <w:color w:val="000000"/>
              </w:rPr>
              <w:t xml:space="preserve"> is a way to confirm that participants have learned by asking them to explain the content back to the facilitator. It is a test of how well facilitators explained a concept. This type of exercise provides another opportunity for participants to recall what they have been taught and practice their public speaking skills.</w:t>
            </w:r>
          </w:p>
        </w:tc>
        <w:tc>
          <w:tcPr>
            <w:tcW w:w="3600" w:type="dxa"/>
            <w:shd w:val="clear" w:color="auto" w:fill="auto"/>
            <w:noWrap/>
            <w:hideMark/>
          </w:tcPr>
          <w:p w14:paraId="580F982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التعليم الاسترجاعي هو طريقة للتحقق من أن المشاركين قد تعلموا المادة، وذلك بأن يُطلب منهم أن يعيدوا شرح المضمون للمدرب. وهو اختبار لمدى جودة شرح الميسرين (المدربين) للمفهوم. يوفر هذا النوع من التمرين فرصة أخرى للمشاركين لتذكر ما تعلموه وممارسة مهارات التحدث أمام الجمهور.</w:t>
            </w:r>
          </w:p>
        </w:tc>
        <w:tc>
          <w:tcPr>
            <w:tcW w:w="1440" w:type="dxa"/>
            <w:shd w:val="clear" w:color="auto" w:fill="auto"/>
            <w:noWrap/>
            <w:hideMark/>
          </w:tcPr>
          <w:p w14:paraId="694CF5EB"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8832BD6"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التعليم الاسترجاعي</w:t>
            </w:r>
          </w:p>
        </w:tc>
      </w:tr>
      <w:tr w:rsidR="007B5806" w:rsidRPr="007C33D9" w14:paraId="59C1C163" w14:textId="77777777" w:rsidTr="007B5806">
        <w:trPr>
          <w:trHeight w:val="300"/>
        </w:trPr>
        <w:tc>
          <w:tcPr>
            <w:tcW w:w="2160" w:type="dxa"/>
            <w:shd w:val="clear" w:color="auto" w:fill="auto"/>
            <w:noWrap/>
            <w:hideMark/>
          </w:tcPr>
          <w:p w14:paraId="7F8B2DE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terrorism</w:t>
            </w:r>
          </w:p>
        </w:tc>
        <w:tc>
          <w:tcPr>
            <w:tcW w:w="1440" w:type="dxa"/>
            <w:shd w:val="clear" w:color="auto" w:fill="auto"/>
            <w:noWrap/>
            <w:hideMark/>
          </w:tcPr>
          <w:p w14:paraId="196BEC14"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C4C7EE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Premeditated, politically motivated violence perpetrated against noncombatant targets by subnational groups or clandestine agents. Title 22, Section 2656f(d) of the United States Code</w:t>
            </w:r>
          </w:p>
        </w:tc>
        <w:tc>
          <w:tcPr>
            <w:tcW w:w="3600" w:type="dxa"/>
            <w:shd w:val="clear" w:color="auto" w:fill="auto"/>
            <w:noWrap/>
            <w:hideMark/>
          </w:tcPr>
          <w:p w14:paraId="7DAE24C2"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عنف متعمد، له دوافع سياسية ويُرتكب ضد أهداف مدنية بواسطة جماعات دون وطنية أو عملاء سريين. البند 22 القسم 2656 </w:t>
            </w:r>
            <w:proofErr w:type="spellStart"/>
            <w:r w:rsidRPr="007C33D9">
              <w:rPr>
                <w:rFonts w:eastAsia="Times New Roman"/>
                <w:color w:val="000000"/>
                <w:rtl/>
              </w:rPr>
              <w:t>إف</w:t>
            </w:r>
            <w:proofErr w:type="spellEnd"/>
            <w:r w:rsidRPr="007C33D9">
              <w:rPr>
                <w:rFonts w:eastAsia="Times New Roman"/>
                <w:color w:val="000000"/>
                <w:rtl/>
              </w:rPr>
              <w:t xml:space="preserve"> (دي) من قانون الولايات المتحدة</w:t>
            </w:r>
          </w:p>
        </w:tc>
        <w:tc>
          <w:tcPr>
            <w:tcW w:w="1440" w:type="dxa"/>
            <w:shd w:val="clear" w:color="auto" w:fill="auto"/>
            <w:noWrap/>
            <w:hideMark/>
          </w:tcPr>
          <w:p w14:paraId="1CC51E70"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512D812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الإرهاب</w:t>
            </w:r>
          </w:p>
        </w:tc>
      </w:tr>
      <w:tr w:rsidR="007B5806" w:rsidRPr="007C33D9" w14:paraId="70803FE0" w14:textId="77777777" w:rsidTr="007B5806">
        <w:trPr>
          <w:trHeight w:val="300"/>
        </w:trPr>
        <w:tc>
          <w:tcPr>
            <w:tcW w:w="2160" w:type="dxa"/>
            <w:shd w:val="clear" w:color="auto" w:fill="auto"/>
            <w:noWrap/>
            <w:hideMark/>
          </w:tcPr>
          <w:p w14:paraId="7924E09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terrorists</w:t>
            </w:r>
          </w:p>
        </w:tc>
        <w:tc>
          <w:tcPr>
            <w:tcW w:w="1440" w:type="dxa"/>
            <w:shd w:val="clear" w:color="auto" w:fill="auto"/>
            <w:noWrap/>
            <w:hideMark/>
          </w:tcPr>
          <w:p w14:paraId="16C8AA5E"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B3CA3E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Individuals who unlawfully use force against persons or property to intimidate or coerce a government and its civil population to achieve a political or social objective</w:t>
            </w:r>
          </w:p>
        </w:tc>
        <w:tc>
          <w:tcPr>
            <w:tcW w:w="3600" w:type="dxa"/>
            <w:shd w:val="clear" w:color="auto" w:fill="auto"/>
            <w:noWrap/>
            <w:hideMark/>
          </w:tcPr>
          <w:p w14:paraId="5068A0E5"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أشخاص </w:t>
            </w:r>
            <w:proofErr w:type="spellStart"/>
            <w:r w:rsidRPr="007C33D9">
              <w:rPr>
                <w:rFonts w:eastAsia="Times New Roman"/>
                <w:color w:val="000000"/>
                <w:rtl/>
              </w:rPr>
              <w:t>يلجأون</w:t>
            </w:r>
            <w:proofErr w:type="spellEnd"/>
            <w:r w:rsidRPr="007C33D9">
              <w:rPr>
                <w:rFonts w:eastAsia="Times New Roman"/>
                <w:color w:val="000000"/>
                <w:rtl/>
              </w:rPr>
              <w:t xml:space="preserve"> إلى </w:t>
            </w:r>
            <w:proofErr w:type="spellStart"/>
            <w:r w:rsidRPr="007C33D9">
              <w:rPr>
                <w:rFonts w:eastAsia="Times New Roman"/>
                <w:color w:val="000000"/>
                <w:rtl/>
              </w:rPr>
              <w:t>الإستخدام</w:t>
            </w:r>
            <w:proofErr w:type="spellEnd"/>
            <w:r w:rsidRPr="007C33D9">
              <w:rPr>
                <w:rFonts w:eastAsia="Times New Roman"/>
                <w:color w:val="000000"/>
                <w:rtl/>
              </w:rPr>
              <w:t xml:space="preserve"> غير المشروع للقوة والعنف ضد الأفراد أو الممتلكات لتخويف أو إكراه حكومة ما </w:t>
            </w:r>
            <w:proofErr w:type="gramStart"/>
            <w:r w:rsidRPr="007C33D9">
              <w:rPr>
                <w:rFonts w:eastAsia="Times New Roman"/>
                <w:color w:val="000000"/>
                <w:rtl/>
              </w:rPr>
              <w:t>و سكانها</w:t>
            </w:r>
            <w:proofErr w:type="gramEnd"/>
            <w:r w:rsidRPr="007C33D9">
              <w:rPr>
                <w:rFonts w:eastAsia="Times New Roman"/>
                <w:color w:val="000000"/>
                <w:rtl/>
              </w:rPr>
              <w:t xml:space="preserve"> المدنيين لتحقيق أهداف سياسية أو اجتماعية. </w:t>
            </w:r>
          </w:p>
        </w:tc>
        <w:tc>
          <w:tcPr>
            <w:tcW w:w="1440" w:type="dxa"/>
            <w:shd w:val="clear" w:color="auto" w:fill="auto"/>
            <w:noWrap/>
            <w:hideMark/>
          </w:tcPr>
          <w:p w14:paraId="58F15213"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CE6776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الإرهابيون</w:t>
            </w:r>
          </w:p>
        </w:tc>
      </w:tr>
      <w:tr w:rsidR="007B5806" w:rsidRPr="007C33D9" w14:paraId="57DA8056" w14:textId="77777777" w:rsidTr="007B5806">
        <w:trPr>
          <w:trHeight w:val="300"/>
        </w:trPr>
        <w:tc>
          <w:tcPr>
            <w:tcW w:w="2160" w:type="dxa"/>
            <w:shd w:val="clear" w:color="auto" w:fill="auto"/>
            <w:noWrap/>
            <w:hideMark/>
          </w:tcPr>
          <w:p w14:paraId="031F65D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theft</w:t>
            </w:r>
          </w:p>
        </w:tc>
        <w:tc>
          <w:tcPr>
            <w:tcW w:w="1440" w:type="dxa"/>
            <w:shd w:val="clear" w:color="auto" w:fill="auto"/>
            <w:noWrap/>
            <w:hideMark/>
          </w:tcPr>
          <w:p w14:paraId="6691DD10"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4DA9C5D"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unlawful possession of property, equipment, information, materials, or other valuable products; may also refer to unlawful diversion of funds or information</w:t>
            </w:r>
          </w:p>
        </w:tc>
        <w:tc>
          <w:tcPr>
            <w:tcW w:w="3600" w:type="dxa"/>
            <w:shd w:val="clear" w:color="auto" w:fill="auto"/>
            <w:noWrap/>
            <w:hideMark/>
          </w:tcPr>
          <w:p w14:paraId="51AD5554"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الحيازة غير المشروعة عن طريق </w:t>
            </w:r>
            <w:proofErr w:type="spellStart"/>
            <w:r w:rsidRPr="007C33D9">
              <w:rPr>
                <w:rFonts w:eastAsia="Times New Roman"/>
                <w:color w:val="000000"/>
                <w:rtl/>
              </w:rPr>
              <w:t>الإستيلاء</w:t>
            </w:r>
            <w:proofErr w:type="spellEnd"/>
            <w:r w:rsidRPr="007C33D9">
              <w:rPr>
                <w:rFonts w:eastAsia="Times New Roman"/>
                <w:color w:val="000000"/>
                <w:rtl/>
              </w:rPr>
              <w:t xml:space="preserve"> على </w:t>
            </w:r>
            <w:proofErr w:type="gramStart"/>
            <w:r w:rsidRPr="007C33D9">
              <w:rPr>
                <w:rFonts w:eastAsia="Times New Roman"/>
                <w:color w:val="000000"/>
                <w:rtl/>
              </w:rPr>
              <w:t>الممتلكات</w:t>
            </w:r>
            <w:proofErr w:type="gramEnd"/>
            <w:r w:rsidRPr="007C33D9">
              <w:rPr>
                <w:rFonts w:eastAsia="Times New Roman"/>
                <w:color w:val="000000"/>
                <w:rtl/>
              </w:rPr>
              <w:t xml:space="preserve"> أو المعدات، أو المعلومات، أو المواد أو سائر المنتجات الثمينة؛ وقد يشير مصطلح السرقة إلى تحويلات غير مشروعة للأموال أو تسريب المعلومات</w:t>
            </w:r>
          </w:p>
        </w:tc>
        <w:tc>
          <w:tcPr>
            <w:tcW w:w="1440" w:type="dxa"/>
            <w:shd w:val="clear" w:color="auto" w:fill="auto"/>
            <w:noWrap/>
            <w:hideMark/>
          </w:tcPr>
          <w:p w14:paraId="01AF648A"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0B0C0A0"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السرقة</w:t>
            </w:r>
          </w:p>
        </w:tc>
      </w:tr>
      <w:tr w:rsidR="007B5806" w:rsidRPr="007C33D9" w14:paraId="6220ADF8" w14:textId="77777777" w:rsidTr="007B5806">
        <w:trPr>
          <w:trHeight w:val="300"/>
        </w:trPr>
        <w:tc>
          <w:tcPr>
            <w:tcW w:w="2160" w:type="dxa"/>
            <w:shd w:val="clear" w:color="auto" w:fill="auto"/>
            <w:noWrap/>
            <w:hideMark/>
          </w:tcPr>
          <w:p w14:paraId="747A3549"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threaded exercise</w:t>
            </w:r>
          </w:p>
        </w:tc>
        <w:tc>
          <w:tcPr>
            <w:tcW w:w="1440" w:type="dxa"/>
            <w:shd w:val="clear" w:color="auto" w:fill="auto"/>
            <w:noWrap/>
            <w:hideMark/>
          </w:tcPr>
          <w:p w14:paraId="0F5B2DC1"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7F6FEE2"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scenario-based progressive learning activity that builds upon the learning objectives outlined in the modules in which the exercise occurs</w:t>
            </w:r>
          </w:p>
        </w:tc>
        <w:tc>
          <w:tcPr>
            <w:tcW w:w="3600" w:type="dxa"/>
            <w:shd w:val="clear" w:color="auto" w:fill="auto"/>
            <w:noWrap/>
            <w:hideMark/>
          </w:tcPr>
          <w:p w14:paraId="199CFFA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هو سيناريو لأنشطة التعلّم التقدمي المبنية على أغراض التعليم المبينة في محتويات الوحدات التي تتضمن التمرين.</w:t>
            </w:r>
          </w:p>
        </w:tc>
        <w:tc>
          <w:tcPr>
            <w:tcW w:w="1440" w:type="dxa"/>
            <w:shd w:val="clear" w:color="auto" w:fill="auto"/>
            <w:noWrap/>
            <w:hideMark/>
          </w:tcPr>
          <w:p w14:paraId="3708F540"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DB55F94"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تمرين تفصيلي مقسّم</w:t>
            </w:r>
          </w:p>
        </w:tc>
      </w:tr>
      <w:tr w:rsidR="007B5806" w:rsidRPr="007C33D9" w14:paraId="71DCF4FA" w14:textId="77777777" w:rsidTr="007B5806">
        <w:trPr>
          <w:trHeight w:val="300"/>
        </w:trPr>
        <w:tc>
          <w:tcPr>
            <w:tcW w:w="2160" w:type="dxa"/>
            <w:shd w:val="clear" w:color="auto" w:fill="auto"/>
            <w:noWrap/>
            <w:hideMark/>
          </w:tcPr>
          <w:p w14:paraId="1ABEF10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threat</w:t>
            </w:r>
          </w:p>
        </w:tc>
        <w:tc>
          <w:tcPr>
            <w:tcW w:w="1440" w:type="dxa"/>
            <w:shd w:val="clear" w:color="auto" w:fill="auto"/>
            <w:noWrap/>
            <w:hideMark/>
          </w:tcPr>
          <w:p w14:paraId="2A30EBD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1D4523A"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Natural or man-made occurrence, individual, or action that has or indicates the potential to harm life, information, operations, the environment, and/or property</w:t>
            </w:r>
          </w:p>
        </w:tc>
        <w:tc>
          <w:tcPr>
            <w:tcW w:w="3600" w:type="dxa"/>
            <w:shd w:val="clear" w:color="auto" w:fill="auto"/>
            <w:noWrap/>
            <w:hideMark/>
          </w:tcPr>
          <w:p w14:paraId="39633A9C"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حدث طبيعي أو من صنع الإنسان، سواء كان فرداً أو كياناً أو عملاً يمكن أن يلحق الضرر، أو يشير إلى إمكانية إلحاق الضرر </w:t>
            </w:r>
            <w:proofErr w:type="gramStart"/>
            <w:r w:rsidRPr="007C33D9">
              <w:rPr>
                <w:rFonts w:eastAsia="Times New Roman"/>
                <w:color w:val="000000"/>
                <w:rtl/>
              </w:rPr>
              <w:t>بالحياة</w:t>
            </w:r>
            <w:proofErr w:type="gramEnd"/>
            <w:r w:rsidRPr="007C33D9">
              <w:rPr>
                <w:rFonts w:eastAsia="Times New Roman"/>
                <w:color w:val="000000"/>
                <w:rtl/>
              </w:rPr>
              <w:t xml:space="preserve"> أو المعلومات أو العمليات أو البيئة، و/أو الممتلكات. </w:t>
            </w:r>
          </w:p>
        </w:tc>
        <w:tc>
          <w:tcPr>
            <w:tcW w:w="1440" w:type="dxa"/>
            <w:shd w:val="clear" w:color="auto" w:fill="auto"/>
            <w:noWrap/>
            <w:hideMark/>
          </w:tcPr>
          <w:p w14:paraId="2ECC4DB6"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6ECE0D3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التهديد</w:t>
            </w:r>
          </w:p>
        </w:tc>
      </w:tr>
      <w:tr w:rsidR="007B5806" w:rsidRPr="007C33D9" w14:paraId="1BACC434" w14:textId="77777777" w:rsidTr="007B5806">
        <w:trPr>
          <w:trHeight w:val="300"/>
        </w:trPr>
        <w:tc>
          <w:tcPr>
            <w:tcW w:w="2160" w:type="dxa"/>
            <w:shd w:val="clear" w:color="auto" w:fill="auto"/>
            <w:noWrap/>
            <w:hideMark/>
          </w:tcPr>
          <w:p w14:paraId="44AF157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threat analysis</w:t>
            </w:r>
          </w:p>
        </w:tc>
        <w:tc>
          <w:tcPr>
            <w:tcW w:w="1440" w:type="dxa"/>
            <w:shd w:val="clear" w:color="auto" w:fill="auto"/>
            <w:noWrap/>
            <w:hideMark/>
          </w:tcPr>
          <w:p w14:paraId="0BD7D080"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166768B"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Product or process of identifying or evaluating entities, actions, or occurrences, whether natural or man-made, that have or indicate the potential to harm life, information, operations, the environment, and/or property</w:t>
            </w:r>
          </w:p>
        </w:tc>
        <w:tc>
          <w:tcPr>
            <w:tcW w:w="3600" w:type="dxa"/>
            <w:shd w:val="clear" w:color="auto" w:fill="auto"/>
            <w:noWrap/>
            <w:hideMark/>
          </w:tcPr>
          <w:p w14:paraId="02DEAD9B" w14:textId="77777777" w:rsidR="007B5806" w:rsidRPr="007C33D9" w:rsidRDefault="007B5806" w:rsidP="007B5806">
            <w:pPr>
              <w:bidi/>
              <w:spacing w:after="0" w:line="240" w:lineRule="auto"/>
              <w:rPr>
                <w:rFonts w:eastAsia="Times New Roman"/>
                <w:color w:val="000000"/>
              </w:rPr>
            </w:pPr>
            <w:proofErr w:type="gramStart"/>
            <w:r w:rsidRPr="007C33D9">
              <w:rPr>
                <w:rFonts w:eastAsia="Times New Roman"/>
                <w:color w:val="000000"/>
                <w:rtl/>
              </w:rPr>
              <w:t>منتج</w:t>
            </w:r>
            <w:proofErr w:type="gramEnd"/>
            <w:r w:rsidRPr="007C33D9">
              <w:rPr>
                <w:rFonts w:eastAsia="Times New Roman"/>
                <w:color w:val="000000"/>
                <w:rtl/>
              </w:rPr>
              <w:t xml:space="preserve"> أو عملية تحديد أو تقييم الكيانات أو الأفعال، أو الوقائع سواء كانت طبيعية أو من صنع البشر، والتي يمكنها أن تحدث أو تشير إلى إمكانية حدوث ضرر </w:t>
            </w:r>
            <w:proofErr w:type="gramStart"/>
            <w:r w:rsidRPr="007C33D9">
              <w:rPr>
                <w:rFonts w:eastAsia="Times New Roman"/>
                <w:color w:val="000000"/>
                <w:rtl/>
              </w:rPr>
              <w:t>للحياة</w:t>
            </w:r>
            <w:proofErr w:type="gramEnd"/>
            <w:r w:rsidRPr="007C33D9">
              <w:rPr>
                <w:rFonts w:eastAsia="Times New Roman"/>
                <w:color w:val="000000"/>
                <w:rtl/>
              </w:rPr>
              <w:t xml:space="preserve"> أو المعلومات أو العمليات أو البيئة و/أو الممتلكات.</w:t>
            </w:r>
          </w:p>
        </w:tc>
        <w:tc>
          <w:tcPr>
            <w:tcW w:w="1440" w:type="dxa"/>
            <w:shd w:val="clear" w:color="auto" w:fill="auto"/>
            <w:noWrap/>
            <w:hideMark/>
          </w:tcPr>
          <w:p w14:paraId="33B6D792"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878C1BA"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تحليل التهديد</w:t>
            </w:r>
          </w:p>
        </w:tc>
      </w:tr>
      <w:tr w:rsidR="007B5806" w:rsidRPr="007C33D9" w14:paraId="679E6D07" w14:textId="77777777" w:rsidTr="007B5806">
        <w:trPr>
          <w:trHeight w:val="300"/>
        </w:trPr>
        <w:tc>
          <w:tcPr>
            <w:tcW w:w="2160" w:type="dxa"/>
            <w:shd w:val="clear" w:color="auto" w:fill="auto"/>
            <w:noWrap/>
            <w:hideMark/>
          </w:tcPr>
          <w:p w14:paraId="4DEFCB3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threat spectrum</w:t>
            </w:r>
          </w:p>
        </w:tc>
        <w:tc>
          <w:tcPr>
            <w:tcW w:w="1440" w:type="dxa"/>
            <w:shd w:val="clear" w:color="auto" w:fill="auto"/>
            <w:noWrap/>
            <w:hideMark/>
          </w:tcPr>
          <w:p w14:paraId="0354E6E3"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B2A5260"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range of potential threats to a critical infrastructure asset</w:t>
            </w:r>
          </w:p>
        </w:tc>
        <w:tc>
          <w:tcPr>
            <w:tcW w:w="3600" w:type="dxa"/>
            <w:shd w:val="clear" w:color="auto" w:fill="auto"/>
            <w:noWrap/>
            <w:hideMark/>
          </w:tcPr>
          <w:p w14:paraId="51A72AC2"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هو نطاق التهديدات المحتملة التي تتعرض لها الأصول الحيوية للبنية التحتية ذات الأهمية الحرجة. </w:t>
            </w:r>
          </w:p>
        </w:tc>
        <w:tc>
          <w:tcPr>
            <w:tcW w:w="1440" w:type="dxa"/>
            <w:shd w:val="clear" w:color="auto" w:fill="auto"/>
            <w:noWrap/>
            <w:hideMark/>
          </w:tcPr>
          <w:p w14:paraId="15202507"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D393B23"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نطاق التهديد</w:t>
            </w:r>
          </w:p>
        </w:tc>
      </w:tr>
      <w:tr w:rsidR="007B5806" w:rsidRPr="007C33D9" w14:paraId="7F18FF46" w14:textId="77777777" w:rsidTr="007B5806">
        <w:trPr>
          <w:trHeight w:val="300"/>
        </w:trPr>
        <w:tc>
          <w:tcPr>
            <w:tcW w:w="2160" w:type="dxa"/>
            <w:shd w:val="clear" w:color="auto" w:fill="auto"/>
            <w:noWrap/>
            <w:hideMark/>
          </w:tcPr>
          <w:p w14:paraId="43C9920A"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threat spectrum matrix</w:t>
            </w:r>
          </w:p>
        </w:tc>
        <w:tc>
          <w:tcPr>
            <w:tcW w:w="1440" w:type="dxa"/>
            <w:shd w:val="clear" w:color="auto" w:fill="auto"/>
            <w:noWrap/>
            <w:hideMark/>
          </w:tcPr>
          <w:p w14:paraId="26F46413"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8AFE999"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table that visually illustrates the relationships between consequence, level of consequence, and probability of occurrence</w:t>
            </w:r>
          </w:p>
        </w:tc>
        <w:tc>
          <w:tcPr>
            <w:tcW w:w="3600" w:type="dxa"/>
            <w:shd w:val="clear" w:color="auto" w:fill="auto"/>
            <w:noWrap/>
            <w:hideMark/>
          </w:tcPr>
          <w:p w14:paraId="5FA14B00"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هي مصفوفة بيانية في شكل جدول للمساعدة على سرعة إيضاح العلاقة بين العواقب ودرجة خطورة العواقب، واحتمالية الحدوث.</w:t>
            </w:r>
          </w:p>
        </w:tc>
        <w:tc>
          <w:tcPr>
            <w:tcW w:w="1440" w:type="dxa"/>
            <w:shd w:val="clear" w:color="auto" w:fill="auto"/>
            <w:noWrap/>
            <w:hideMark/>
          </w:tcPr>
          <w:p w14:paraId="49C73696"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A85EE6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مصفوفة نطاق التهديد</w:t>
            </w:r>
          </w:p>
        </w:tc>
      </w:tr>
      <w:tr w:rsidR="007B5806" w:rsidRPr="007C33D9" w14:paraId="4F318B12" w14:textId="77777777" w:rsidTr="007B5806">
        <w:trPr>
          <w:trHeight w:val="300"/>
        </w:trPr>
        <w:tc>
          <w:tcPr>
            <w:tcW w:w="2160" w:type="dxa"/>
            <w:shd w:val="clear" w:color="auto" w:fill="auto"/>
            <w:noWrap/>
            <w:hideMark/>
          </w:tcPr>
          <w:p w14:paraId="7D06107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throughput</w:t>
            </w:r>
          </w:p>
        </w:tc>
        <w:tc>
          <w:tcPr>
            <w:tcW w:w="1440" w:type="dxa"/>
            <w:shd w:val="clear" w:color="auto" w:fill="auto"/>
            <w:noWrap/>
            <w:hideMark/>
          </w:tcPr>
          <w:p w14:paraId="6CB1D488"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7D334DA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measure of effectiveness of entry control; the number of authorized personnel allowed access per unit of time</w:t>
            </w:r>
          </w:p>
        </w:tc>
        <w:tc>
          <w:tcPr>
            <w:tcW w:w="3600" w:type="dxa"/>
            <w:shd w:val="clear" w:color="auto" w:fill="auto"/>
            <w:noWrap/>
            <w:hideMark/>
          </w:tcPr>
          <w:p w14:paraId="34360CCE"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قياس فعالية التحكم في الدخول عن طريق عدد المرات التي يتم فيها السماح بدخول أشخاص مأذونين في وحدة زمنية معينة</w:t>
            </w:r>
          </w:p>
        </w:tc>
        <w:tc>
          <w:tcPr>
            <w:tcW w:w="1440" w:type="dxa"/>
            <w:shd w:val="clear" w:color="auto" w:fill="auto"/>
            <w:noWrap/>
            <w:hideMark/>
          </w:tcPr>
          <w:p w14:paraId="1896034B"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4E092086"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سعة الدخول</w:t>
            </w:r>
          </w:p>
        </w:tc>
      </w:tr>
      <w:tr w:rsidR="007B5806" w:rsidRPr="007C33D9" w14:paraId="36AAD6DB" w14:textId="77777777" w:rsidTr="007B5806">
        <w:trPr>
          <w:trHeight w:val="300"/>
        </w:trPr>
        <w:tc>
          <w:tcPr>
            <w:tcW w:w="2160" w:type="dxa"/>
            <w:shd w:val="clear" w:color="auto" w:fill="auto"/>
            <w:noWrap/>
            <w:hideMark/>
          </w:tcPr>
          <w:p w14:paraId="3AB11BF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time-activated method</w:t>
            </w:r>
          </w:p>
        </w:tc>
        <w:tc>
          <w:tcPr>
            <w:tcW w:w="1440" w:type="dxa"/>
            <w:shd w:val="clear" w:color="auto" w:fill="auto"/>
            <w:noWrap/>
            <w:hideMark/>
          </w:tcPr>
          <w:p w14:paraId="37899D54"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56582DF"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Use of a switch that functions after a set time is reached</w:t>
            </w:r>
          </w:p>
        </w:tc>
        <w:tc>
          <w:tcPr>
            <w:tcW w:w="3600" w:type="dxa"/>
            <w:shd w:val="clear" w:color="auto" w:fill="auto"/>
            <w:noWrap/>
            <w:hideMark/>
          </w:tcPr>
          <w:p w14:paraId="125A794F"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عن طريق مفتاح التشغيل الزمني الذي يبدأ بالعمل عند بلوغ وقت معين</w:t>
            </w:r>
          </w:p>
        </w:tc>
        <w:tc>
          <w:tcPr>
            <w:tcW w:w="1440" w:type="dxa"/>
            <w:shd w:val="clear" w:color="auto" w:fill="auto"/>
            <w:noWrap/>
            <w:hideMark/>
          </w:tcPr>
          <w:p w14:paraId="33EC8C70"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4D47C22"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طريقة التشغيل الموقوتة</w:t>
            </w:r>
          </w:p>
        </w:tc>
      </w:tr>
      <w:tr w:rsidR="007B5806" w:rsidRPr="007C33D9" w14:paraId="201495BE" w14:textId="77777777" w:rsidTr="007B5806">
        <w:trPr>
          <w:trHeight w:val="300"/>
        </w:trPr>
        <w:tc>
          <w:tcPr>
            <w:tcW w:w="2160" w:type="dxa"/>
            <w:shd w:val="clear" w:color="auto" w:fill="auto"/>
            <w:noWrap/>
            <w:hideMark/>
          </w:tcPr>
          <w:p w14:paraId="5301535E"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treaty</w:t>
            </w:r>
          </w:p>
        </w:tc>
        <w:tc>
          <w:tcPr>
            <w:tcW w:w="1440" w:type="dxa"/>
            <w:shd w:val="clear" w:color="auto" w:fill="auto"/>
            <w:noWrap/>
            <w:hideMark/>
          </w:tcPr>
          <w:p w14:paraId="74E825BF"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8FD001C"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formal agreement between two or more states</w:t>
            </w:r>
          </w:p>
        </w:tc>
        <w:tc>
          <w:tcPr>
            <w:tcW w:w="3600" w:type="dxa"/>
            <w:shd w:val="clear" w:color="auto" w:fill="auto"/>
            <w:noWrap/>
            <w:hideMark/>
          </w:tcPr>
          <w:p w14:paraId="6CF9DF0D"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اتفاقية رسمية بين دولة أو أكثر.</w:t>
            </w:r>
          </w:p>
        </w:tc>
        <w:tc>
          <w:tcPr>
            <w:tcW w:w="1440" w:type="dxa"/>
            <w:shd w:val="clear" w:color="auto" w:fill="auto"/>
            <w:noWrap/>
            <w:hideMark/>
          </w:tcPr>
          <w:p w14:paraId="48EEEE5B"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113B03F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المعاهدة</w:t>
            </w:r>
          </w:p>
        </w:tc>
      </w:tr>
      <w:tr w:rsidR="007B5806" w:rsidRPr="007C33D9" w14:paraId="7FC240F9" w14:textId="77777777" w:rsidTr="007B5806">
        <w:trPr>
          <w:trHeight w:val="300"/>
        </w:trPr>
        <w:tc>
          <w:tcPr>
            <w:tcW w:w="2160" w:type="dxa"/>
            <w:shd w:val="clear" w:color="auto" w:fill="auto"/>
            <w:noWrap/>
            <w:hideMark/>
          </w:tcPr>
          <w:p w14:paraId="50C1608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trinitrotoluene</w:t>
            </w:r>
          </w:p>
        </w:tc>
        <w:tc>
          <w:tcPr>
            <w:tcW w:w="1440" w:type="dxa"/>
            <w:shd w:val="clear" w:color="auto" w:fill="auto"/>
            <w:noWrap/>
            <w:hideMark/>
          </w:tcPr>
          <w:p w14:paraId="25A1185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TNT</w:t>
            </w:r>
          </w:p>
        </w:tc>
        <w:tc>
          <w:tcPr>
            <w:tcW w:w="3600" w:type="dxa"/>
            <w:shd w:val="clear" w:color="auto" w:fill="auto"/>
            <w:noWrap/>
            <w:hideMark/>
          </w:tcPr>
          <w:p w14:paraId="302EF69B"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Trinitrotoluene (explosive material)</w:t>
            </w:r>
          </w:p>
        </w:tc>
        <w:tc>
          <w:tcPr>
            <w:tcW w:w="3600" w:type="dxa"/>
            <w:shd w:val="clear" w:color="auto" w:fill="auto"/>
            <w:noWrap/>
            <w:hideMark/>
          </w:tcPr>
          <w:p w14:paraId="14B7529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مادة متفجرة (</w:t>
            </w:r>
            <w:proofErr w:type="spellStart"/>
            <w:r w:rsidRPr="007C33D9">
              <w:rPr>
                <w:rFonts w:eastAsia="Times New Roman"/>
                <w:color w:val="000000"/>
                <w:rtl/>
              </w:rPr>
              <w:t>ترينيتروتولوين</w:t>
            </w:r>
            <w:proofErr w:type="spellEnd"/>
            <w:r w:rsidRPr="007C33D9">
              <w:rPr>
                <w:rFonts w:eastAsia="Times New Roman"/>
                <w:color w:val="000000"/>
                <w:rtl/>
              </w:rPr>
              <w:t>)</w:t>
            </w:r>
          </w:p>
        </w:tc>
        <w:tc>
          <w:tcPr>
            <w:tcW w:w="1440" w:type="dxa"/>
            <w:shd w:val="clear" w:color="auto" w:fill="auto"/>
            <w:noWrap/>
            <w:hideMark/>
          </w:tcPr>
          <w:p w14:paraId="57E8C3EC"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TNT</w:t>
            </w:r>
          </w:p>
        </w:tc>
        <w:tc>
          <w:tcPr>
            <w:tcW w:w="2160" w:type="dxa"/>
            <w:shd w:val="clear" w:color="auto" w:fill="auto"/>
            <w:noWrap/>
            <w:hideMark/>
          </w:tcPr>
          <w:p w14:paraId="17B116BE" w14:textId="77777777" w:rsidR="007B5806" w:rsidRPr="007C33D9" w:rsidRDefault="007B5806" w:rsidP="007B5806">
            <w:pPr>
              <w:bidi/>
              <w:spacing w:after="0" w:line="240" w:lineRule="auto"/>
              <w:rPr>
                <w:rFonts w:eastAsia="Times New Roman"/>
                <w:b/>
                <w:bCs/>
                <w:color w:val="000000"/>
              </w:rPr>
            </w:pPr>
            <w:proofErr w:type="spellStart"/>
            <w:r w:rsidRPr="007C33D9">
              <w:rPr>
                <w:rFonts w:eastAsia="Times New Roman"/>
                <w:b/>
                <w:bCs/>
                <w:color w:val="000000"/>
                <w:rtl/>
              </w:rPr>
              <w:t>ترينيتروتولوين</w:t>
            </w:r>
            <w:proofErr w:type="spellEnd"/>
          </w:p>
        </w:tc>
      </w:tr>
      <w:tr w:rsidR="007B5806" w:rsidRPr="007C33D9" w14:paraId="7C055F18" w14:textId="77777777" w:rsidTr="007B5806">
        <w:trPr>
          <w:trHeight w:val="300"/>
        </w:trPr>
        <w:tc>
          <w:tcPr>
            <w:tcW w:w="2160" w:type="dxa"/>
            <w:shd w:val="clear" w:color="auto" w:fill="auto"/>
            <w:noWrap/>
            <w:hideMark/>
          </w:tcPr>
          <w:p w14:paraId="5A439B5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type I error</w:t>
            </w:r>
          </w:p>
        </w:tc>
        <w:tc>
          <w:tcPr>
            <w:tcW w:w="1440" w:type="dxa"/>
            <w:shd w:val="clear" w:color="auto" w:fill="auto"/>
            <w:noWrap/>
            <w:hideMark/>
          </w:tcPr>
          <w:p w14:paraId="6EAC82B8"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B1FCCAB"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false rejection of an authorized person</w:t>
            </w:r>
          </w:p>
        </w:tc>
        <w:tc>
          <w:tcPr>
            <w:tcW w:w="3600" w:type="dxa"/>
            <w:shd w:val="clear" w:color="auto" w:fill="auto"/>
            <w:noWrap/>
            <w:hideMark/>
          </w:tcPr>
          <w:p w14:paraId="3DFBB7D4"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رفض خاطئ لشخص مصرح له بالنفاذ</w:t>
            </w:r>
          </w:p>
        </w:tc>
        <w:tc>
          <w:tcPr>
            <w:tcW w:w="1440" w:type="dxa"/>
            <w:shd w:val="clear" w:color="auto" w:fill="auto"/>
            <w:noWrap/>
            <w:hideMark/>
          </w:tcPr>
          <w:p w14:paraId="7CC815A8"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2F3BF7A"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خطأ من النوع الأول</w:t>
            </w:r>
          </w:p>
        </w:tc>
      </w:tr>
      <w:tr w:rsidR="007B5806" w:rsidRPr="007C33D9" w14:paraId="044DF905" w14:textId="77777777" w:rsidTr="007B5806">
        <w:trPr>
          <w:trHeight w:val="300"/>
        </w:trPr>
        <w:tc>
          <w:tcPr>
            <w:tcW w:w="2160" w:type="dxa"/>
            <w:shd w:val="clear" w:color="auto" w:fill="auto"/>
            <w:noWrap/>
            <w:hideMark/>
          </w:tcPr>
          <w:p w14:paraId="751E094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type II error</w:t>
            </w:r>
          </w:p>
        </w:tc>
        <w:tc>
          <w:tcPr>
            <w:tcW w:w="1440" w:type="dxa"/>
            <w:shd w:val="clear" w:color="auto" w:fill="auto"/>
            <w:noWrap/>
            <w:hideMark/>
          </w:tcPr>
          <w:p w14:paraId="1C563EC3"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33B2763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false acceptance of an unauthorized person</w:t>
            </w:r>
          </w:p>
        </w:tc>
        <w:tc>
          <w:tcPr>
            <w:tcW w:w="3600" w:type="dxa"/>
            <w:shd w:val="clear" w:color="auto" w:fill="auto"/>
            <w:noWrap/>
            <w:hideMark/>
          </w:tcPr>
          <w:p w14:paraId="606DD85F"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سماح خاطئ لشخص غير مصرح له بالنفاذ </w:t>
            </w:r>
          </w:p>
        </w:tc>
        <w:tc>
          <w:tcPr>
            <w:tcW w:w="1440" w:type="dxa"/>
            <w:shd w:val="clear" w:color="auto" w:fill="auto"/>
            <w:noWrap/>
            <w:hideMark/>
          </w:tcPr>
          <w:p w14:paraId="71129DC9"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23C09B9"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خطأ من النوع الثاني</w:t>
            </w:r>
          </w:p>
        </w:tc>
      </w:tr>
      <w:tr w:rsidR="007B5806" w:rsidRPr="007C33D9" w14:paraId="2A0490B6" w14:textId="77777777" w:rsidTr="007B5806">
        <w:trPr>
          <w:trHeight w:val="300"/>
        </w:trPr>
        <w:tc>
          <w:tcPr>
            <w:tcW w:w="2160" w:type="dxa"/>
            <w:shd w:val="clear" w:color="auto" w:fill="auto"/>
            <w:noWrap/>
            <w:hideMark/>
          </w:tcPr>
          <w:p w14:paraId="3E56DD3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United Nations</w:t>
            </w:r>
          </w:p>
        </w:tc>
        <w:tc>
          <w:tcPr>
            <w:tcW w:w="1440" w:type="dxa"/>
            <w:shd w:val="clear" w:color="auto" w:fill="auto"/>
            <w:noWrap/>
            <w:hideMark/>
          </w:tcPr>
          <w:p w14:paraId="2570EA0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UN</w:t>
            </w:r>
          </w:p>
        </w:tc>
        <w:tc>
          <w:tcPr>
            <w:tcW w:w="3600" w:type="dxa"/>
            <w:shd w:val="clear" w:color="auto" w:fill="auto"/>
            <w:noWrap/>
            <w:hideMark/>
          </w:tcPr>
          <w:p w14:paraId="77D016F0"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United Nations</w:t>
            </w:r>
          </w:p>
        </w:tc>
        <w:tc>
          <w:tcPr>
            <w:tcW w:w="3600" w:type="dxa"/>
            <w:shd w:val="clear" w:color="auto" w:fill="auto"/>
            <w:noWrap/>
            <w:hideMark/>
          </w:tcPr>
          <w:p w14:paraId="050CFF0F"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الأمم المتحدة</w:t>
            </w:r>
          </w:p>
        </w:tc>
        <w:tc>
          <w:tcPr>
            <w:tcW w:w="1440" w:type="dxa"/>
            <w:shd w:val="clear" w:color="auto" w:fill="auto"/>
            <w:noWrap/>
            <w:hideMark/>
          </w:tcPr>
          <w:p w14:paraId="5EA19E51"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UN</w:t>
            </w:r>
          </w:p>
        </w:tc>
        <w:tc>
          <w:tcPr>
            <w:tcW w:w="2160" w:type="dxa"/>
            <w:shd w:val="clear" w:color="auto" w:fill="auto"/>
            <w:noWrap/>
            <w:hideMark/>
          </w:tcPr>
          <w:p w14:paraId="79436848"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الأمم المتحدة</w:t>
            </w:r>
          </w:p>
        </w:tc>
      </w:tr>
      <w:tr w:rsidR="007B5806" w:rsidRPr="007C33D9" w14:paraId="273676CD" w14:textId="77777777" w:rsidTr="007B5806">
        <w:trPr>
          <w:trHeight w:val="300"/>
        </w:trPr>
        <w:tc>
          <w:tcPr>
            <w:tcW w:w="2160" w:type="dxa"/>
            <w:shd w:val="clear" w:color="auto" w:fill="auto"/>
            <w:noWrap/>
            <w:hideMark/>
          </w:tcPr>
          <w:p w14:paraId="0C30680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United States</w:t>
            </w:r>
          </w:p>
        </w:tc>
        <w:tc>
          <w:tcPr>
            <w:tcW w:w="1440" w:type="dxa"/>
            <w:shd w:val="clear" w:color="auto" w:fill="auto"/>
            <w:noWrap/>
            <w:hideMark/>
          </w:tcPr>
          <w:p w14:paraId="3813296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US</w:t>
            </w:r>
          </w:p>
        </w:tc>
        <w:tc>
          <w:tcPr>
            <w:tcW w:w="3600" w:type="dxa"/>
            <w:shd w:val="clear" w:color="auto" w:fill="auto"/>
            <w:noWrap/>
            <w:hideMark/>
          </w:tcPr>
          <w:p w14:paraId="52277CD3"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United States</w:t>
            </w:r>
          </w:p>
        </w:tc>
        <w:tc>
          <w:tcPr>
            <w:tcW w:w="3600" w:type="dxa"/>
            <w:shd w:val="clear" w:color="auto" w:fill="auto"/>
            <w:noWrap/>
            <w:hideMark/>
          </w:tcPr>
          <w:p w14:paraId="4FEC9DE4"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الولايات المتحدة</w:t>
            </w:r>
          </w:p>
        </w:tc>
        <w:tc>
          <w:tcPr>
            <w:tcW w:w="1440" w:type="dxa"/>
            <w:shd w:val="clear" w:color="auto" w:fill="auto"/>
            <w:noWrap/>
            <w:hideMark/>
          </w:tcPr>
          <w:p w14:paraId="43721B9B"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US</w:t>
            </w:r>
          </w:p>
        </w:tc>
        <w:tc>
          <w:tcPr>
            <w:tcW w:w="2160" w:type="dxa"/>
            <w:shd w:val="clear" w:color="auto" w:fill="auto"/>
            <w:noWrap/>
            <w:hideMark/>
          </w:tcPr>
          <w:p w14:paraId="0B99D2BE"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الولايات المتحدة</w:t>
            </w:r>
          </w:p>
        </w:tc>
      </w:tr>
      <w:tr w:rsidR="007B5806" w:rsidRPr="007C33D9" w14:paraId="5625412B" w14:textId="77777777" w:rsidTr="007B5806">
        <w:trPr>
          <w:trHeight w:val="300"/>
        </w:trPr>
        <w:tc>
          <w:tcPr>
            <w:tcW w:w="2160" w:type="dxa"/>
            <w:shd w:val="clear" w:color="auto" w:fill="auto"/>
            <w:noWrap/>
            <w:hideMark/>
          </w:tcPr>
          <w:p w14:paraId="6F785DA7"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Universal Declaration of Human Rights</w:t>
            </w:r>
          </w:p>
        </w:tc>
        <w:tc>
          <w:tcPr>
            <w:tcW w:w="1440" w:type="dxa"/>
            <w:shd w:val="clear" w:color="auto" w:fill="auto"/>
            <w:noWrap/>
            <w:hideMark/>
          </w:tcPr>
          <w:p w14:paraId="77ADBEEF"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UDHR</w:t>
            </w:r>
          </w:p>
        </w:tc>
        <w:tc>
          <w:tcPr>
            <w:tcW w:w="3600" w:type="dxa"/>
            <w:shd w:val="clear" w:color="auto" w:fill="auto"/>
            <w:noWrap/>
            <w:hideMark/>
          </w:tcPr>
          <w:p w14:paraId="5F82CCFC"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Universal Declaration of Human Rights</w:t>
            </w:r>
          </w:p>
        </w:tc>
        <w:tc>
          <w:tcPr>
            <w:tcW w:w="3600" w:type="dxa"/>
            <w:shd w:val="clear" w:color="auto" w:fill="auto"/>
            <w:noWrap/>
            <w:hideMark/>
          </w:tcPr>
          <w:p w14:paraId="37FECA9F"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الإعلان العالمي لحقوق الإنسان</w:t>
            </w:r>
          </w:p>
        </w:tc>
        <w:tc>
          <w:tcPr>
            <w:tcW w:w="1440" w:type="dxa"/>
            <w:shd w:val="clear" w:color="auto" w:fill="auto"/>
            <w:noWrap/>
            <w:hideMark/>
          </w:tcPr>
          <w:p w14:paraId="44AFFEE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UDHR</w:t>
            </w:r>
          </w:p>
        </w:tc>
        <w:tc>
          <w:tcPr>
            <w:tcW w:w="2160" w:type="dxa"/>
            <w:shd w:val="clear" w:color="auto" w:fill="auto"/>
            <w:noWrap/>
            <w:hideMark/>
          </w:tcPr>
          <w:p w14:paraId="2ED25575"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الإعلان العالمي لحقوق الإنسان</w:t>
            </w:r>
          </w:p>
        </w:tc>
      </w:tr>
      <w:tr w:rsidR="007B5806" w:rsidRPr="007C33D9" w14:paraId="314C950F" w14:textId="77777777" w:rsidTr="007B5806">
        <w:trPr>
          <w:trHeight w:val="300"/>
        </w:trPr>
        <w:tc>
          <w:tcPr>
            <w:tcW w:w="2160" w:type="dxa"/>
            <w:shd w:val="clear" w:color="auto" w:fill="auto"/>
            <w:noWrap/>
            <w:hideMark/>
          </w:tcPr>
          <w:p w14:paraId="6E41FC63"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unsatisfactory</w:t>
            </w:r>
          </w:p>
        </w:tc>
        <w:tc>
          <w:tcPr>
            <w:tcW w:w="1440" w:type="dxa"/>
            <w:shd w:val="clear" w:color="auto" w:fill="auto"/>
            <w:noWrap/>
            <w:hideMark/>
          </w:tcPr>
          <w:p w14:paraId="747C6623"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63673670"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rating used in evaluating effectiveness of a physical protection system; means that the elements of the physical protection system are not functioning as designed and that the effectiveness has been reduced to the point of failure</w:t>
            </w:r>
          </w:p>
        </w:tc>
        <w:tc>
          <w:tcPr>
            <w:tcW w:w="3600" w:type="dxa"/>
            <w:shd w:val="clear" w:color="auto" w:fill="auto"/>
            <w:noWrap/>
            <w:hideMark/>
          </w:tcPr>
          <w:p w14:paraId="09A04BE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التقدير المستخدم في تقييم فعالية نظام الحماية المادية - يعني أن عناصر نظام الأمن المادي لا تعمل بكفاءة وفقا للغرض المصممة من أجله وأن فعاليتها قد تدهورت إلى نقطة الفشل.</w:t>
            </w:r>
          </w:p>
        </w:tc>
        <w:tc>
          <w:tcPr>
            <w:tcW w:w="1440" w:type="dxa"/>
            <w:shd w:val="clear" w:color="auto" w:fill="auto"/>
            <w:noWrap/>
            <w:hideMark/>
          </w:tcPr>
          <w:p w14:paraId="658D390E"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75D2C13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غير مقبول</w:t>
            </w:r>
          </w:p>
        </w:tc>
      </w:tr>
      <w:tr w:rsidR="007B5806" w:rsidRPr="007C33D9" w14:paraId="0442C04C" w14:textId="77777777" w:rsidTr="007B5806">
        <w:trPr>
          <w:trHeight w:val="300"/>
        </w:trPr>
        <w:tc>
          <w:tcPr>
            <w:tcW w:w="2160" w:type="dxa"/>
            <w:shd w:val="clear" w:color="auto" w:fill="auto"/>
            <w:noWrap/>
            <w:hideMark/>
          </w:tcPr>
          <w:p w14:paraId="61FF2E0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vehicle-borne improvised explosive device</w:t>
            </w:r>
          </w:p>
        </w:tc>
        <w:tc>
          <w:tcPr>
            <w:tcW w:w="1440" w:type="dxa"/>
            <w:shd w:val="clear" w:color="auto" w:fill="auto"/>
            <w:noWrap/>
            <w:hideMark/>
          </w:tcPr>
          <w:p w14:paraId="15948FC4"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VBIED</w:t>
            </w:r>
          </w:p>
        </w:tc>
        <w:tc>
          <w:tcPr>
            <w:tcW w:w="3600" w:type="dxa"/>
            <w:shd w:val="clear" w:color="auto" w:fill="auto"/>
            <w:noWrap/>
            <w:hideMark/>
          </w:tcPr>
          <w:p w14:paraId="7F5C1CE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Use of a vehicle as the container and delivery method for an IED</w:t>
            </w:r>
          </w:p>
        </w:tc>
        <w:tc>
          <w:tcPr>
            <w:tcW w:w="3600" w:type="dxa"/>
            <w:shd w:val="clear" w:color="auto" w:fill="auto"/>
            <w:noWrap/>
            <w:hideMark/>
          </w:tcPr>
          <w:p w14:paraId="0BCDCDCC"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استخدام مركبات كحاويات للأجهزة المتفجرة المرتجلة وكوسيلة لتوصيلها</w:t>
            </w:r>
          </w:p>
        </w:tc>
        <w:tc>
          <w:tcPr>
            <w:tcW w:w="1440" w:type="dxa"/>
            <w:shd w:val="clear" w:color="auto" w:fill="auto"/>
            <w:noWrap/>
            <w:hideMark/>
          </w:tcPr>
          <w:p w14:paraId="715CB29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VBIED</w:t>
            </w:r>
          </w:p>
        </w:tc>
        <w:tc>
          <w:tcPr>
            <w:tcW w:w="2160" w:type="dxa"/>
            <w:shd w:val="clear" w:color="auto" w:fill="auto"/>
            <w:noWrap/>
            <w:hideMark/>
          </w:tcPr>
          <w:p w14:paraId="0C3C66DC"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الأجهزة المتفجرة المرتجلة المحمولة على مركبة</w:t>
            </w:r>
          </w:p>
        </w:tc>
      </w:tr>
      <w:tr w:rsidR="007B5806" w:rsidRPr="007C33D9" w14:paraId="4D4201B3" w14:textId="77777777" w:rsidTr="007B5806">
        <w:trPr>
          <w:trHeight w:val="300"/>
        </w:trPr>
        <w:tc>
          <w:tcPr>
            <w:tcW w:w="2160" w:type="dxa"/>
            <w:shd w:val="clear" w:color="auto" w:fill="auto"/>
            <w:noWrap/>
            <w:hideMark/>
          </w:tcPr>
          <w:p w14:paraId="0FD7C3D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victim-activated method</w:t>
            </w:r>
          </w:p>
        </w:tc>
        <w:tc>
          <w:tcPr>
            <w:tcW w:w="1440" w:type="dxa"/>
            <w:shd w:val="clear" w:color="auto" w:fill="auto"/>
            <w:noWrap/>
            <w:hideMark/>
          </w:tcPr>
          <w:p w14:paraId="638079E6"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52D15D3F"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Use of a switch that activates by the actions of an unsuspecting individual</w:t>
            </w:r>
          </w:p>
        </w:tc>
        <w:tc>
          <w:tcPr>
            <w:tcW w:w="3600" w:type="dxa"/>
            <w:shd w:val="clear" w:color="auto" w:fill="auto"/>
            <w:noWrap/>
            <w:hideMark/>
          </w:tcPr>
          <w:p w14:paraId="44F31AEB"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مفتاح الإطلاق بواسطة الضحايا هو نوع من الصمامات التي يتم تشغيلها عن طريق الملامسة العارضة أو التحريك بواسطة أفراد على غير علم.</w:t>
            </w:r>
          </w:p>
        </w:tc>
        <w:tc>
          <w:tcPr>
            <w:tcW w:w="1440" w:type="dxa"/>
            <w:shd w:val="clear" w:color="auto" w:fill="auto"/>
            <w:noWrap/>
            <w:hideMark/>
          </w:tcPr>
          <w:p w14:paraId="3D5C8BD4"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26D116B"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 xml:space="preserve">طريقة التشغيل عن طريق </w:t>
            </w:r>
            <w:proofErr w:type="spellStart"/>
            <w:r w:rsidRPr="007C33D9">
              <w:rPr>
                <w:rFonts w:eastAsia="Times New Roman"/>
                <w:b/>
                <w:bCs/>
                <w:color w:val="000000"/>
                <w:rtl/>
              </w:rPr>
              <w:t>الإصطدام</w:t>
            </w:r>
            <w:proofErr w:type="spellEnd"/>
            <w:r w:rsidRPr="007C33D9">
              <w:rPr>
                <w:rFonts w:eastAsia="Times New Roman"/>
                <w:b/>
                <w:bCs/>
                <w:color w:val="000000"/>
                <w:rtl/>
              </w:rPr>
              <w:t xml:space="preserve"> العارض من الضحايا</w:t>
            </w:r>
          </w:p>
        </w:tc>
      </w:tr>
      <w:tr w:rsidR="007B5806" w:rsidRPr="007C33D9" w14:paraId="504F4FA8" w14:textId="77777777" w:rsidTr="007B5806">
        <w:trPr>
          <w:trHeight w:val="300"/>
        </w:trPr>
        <w:tc>
          <w:tcPr>
            <w:tcW w:w="2160" w:type="dxa"/>
            <w:shd w:val="clear" w:color="auto" w:fill="auto"/>
            <w:noWrap/>
            <w:hideMark/>
          </w:tcPr>
          <w:p w14:paraId="784802F8"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vulnerability</w:t>
            </w:r>
          </w:p>
        </w:tc>
        <w:tc>
          <w:tcPr>
            <w:tcW w:w="1440" w:type="dxa"/>
            <w:shd w:val="clear" w:color="auto" w:fill="auto"/>
            <w:noWrap/>
            <w:hideMark/>
          </w:tcPr>
          <w:p w14:paraId="7DA6E737"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07012464"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physical feature or operational attribute that renders an entity open to exploitation or susceptible to given threat</w:t>
            </w:r>
          </w:p>
        </w:tc>
        <w:tc>
          <w:tcPr>
            <w:tcW w:w="3600" w:type="dxa"/>
            <w:shd w:val="clear" w:color="auto" w:fill="auto"/>
            <w:noWrap/>
            <w:hideMark/>
          </w:tcPr>
          <w:p w14:paraId="51DDCA1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سمات مادية أو صفات عملياتية من شأنها تعريض منشأة أو مرفق </w:t>
            </w:r>
            <w:proofErr w:type="spellStart"/>
            <w:r w:rsidRPr="007C33D9">
              <w:rPr>
                <w:rFonts w:eastAsia="Times New Roman"/>
                <w:color w:val="000000"/>
                <w:rtl/>
              </w:rPr>
              <w:t>للإستغلال</w:t>
            </w:r>
            <w:proofErr w:type="spellEnd"/>
            <w:r w:rsidRPr="007C33D9">
              <w:rPr>
                <w:rFonts w:eastAsia="Times New Roman"/>
                <w:color w:val="000000"/>
                <w:rtl/>
              </w:rPr>
              <w:t xml:space="preserve"> أو لتهديد معين</w:t>
            </w:r>
          </w:p>
        </w:tc>
        <w:tc>
          <w:tcPr>
            <w:tcW w:w="1440" w:type="dxa"/>
            <w:shd w:val="clear" w:color="auto" w:fill="auto"/>
            <w:noWrap/>
            <w:hideMark/>
          </w:tcPr>
          <w:p w14:paraId="449EFCA5"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224F1E6F"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نقاط الضعف</w:t>
            </w:r>
          </w:p>
        </w:tc>
      </w:tr>
      <w:tr w:rsidR="007B5806" w:rsidRPr="007C33D9" w14:paraId="529E58D8" w14:textId="77777777" w:rsidTr="007B5806">
        <w:trPr>
          <w:trHeight w:val="300"/>
        </w:trPr>
        <w:tc>
          <w:tcPr>
            <w:tcW w:w="2160" w:type="dxa"/>
            <w:shd w:val="clear" w:color="auto" w:fill="auto"/>
            <w:noWrap/>
            <w:hideMark/>
          </w:tcPr>
          <w:p w14:paraId="0DAFB6E0"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vulnerability analysis</w:t>
            </w:r>
          </w:p>
        </w:tc>
        <w:tc>
          <w:tcPr>
            <w:tcW w:w="1440" w:type="dxa"/>
            <w:shd w:val="clear" w:color="auto" w:fill="auto"/>
            <w:noWrap/>
            <w:hideMark/>
          </w:tcPr>
          <w:p w14:paraId="290776DC"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1E679457"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product or process of identifying physical features or operational attributes that renders an entity, asset, system, network, or geographic area susceptible or exposed to threats</w:t>
            </w:r>
          </w:p>
        </w:tc>
        <w:tc>
          <w:tcPr>
            <w:tcW w:w="3600" w:type="dxa"/>
            <w:shd w:val="clear" w:color="auto" w:fill="auto"/>
            <w:noWrap/>
            <w:hideMark/>
          </w:tcPr>
          <w:p w14:paraId="06B28CD9"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منتج أو عملية تحديد السمات المادية أو العملياتية التي تعرض للخطر أية </w:t>
            </w:r>
            <w:proofErr w:type="gramStart"/>
            <w:r w:rsidRPr="007C33D9">
              <w:rPr>
                <w:rFonts w:eastAsia="Times New Roman"/>
                <w:color w:val="000000"/>
                <w:rtl/>
              </w:rPr>
              <w:t>مرافق</w:t>
            </w:r>
            <w:proofErr w:type="gramEnd"/>
            <w:r w:rsidRPr="007C33D9">
              <w:rPr>
                <w:rFonts w:eastAsia="Times New Roman"/>
                <w:color w:val="000000"/>
                <w:rtl/>
              </w:rPr>
              <w:t xml:space="preserve"> أو أصول أو أنظمة أو شبكات أو مناطق جغرافية أو لأية تهديدات </w:t>
            </w:r>
            <w:proofErr w:type="spellStart"/>
            <w:r w:rsidRPr="007C33D9">
              <w:rPr>
                <w:rFonts w:eastAsia="Times New Roman"/>
                <w:color w:val="000000"/>
                <w:rtl/>
              </w:rPr>
              <w:t>محيقة</w:t>
            </w:r>
            <w:proofErr w:type="spellEnd"/>
          </w:p>
        </w:tc>
        <w:tc>
          <w:tcPr>
            <w:tcW w:w="1440" w:type="dxa"/>
            <w:shd w:val="clear" w:color="auto" w:fill="auto"/>
            <w:noWrap/>
            <w:hideMark/>
          </w:tcPr>
          <w:p w14:paraId="0AD22000"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3A225832"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تحليل نقاط الضعف</w:t>
            </w:r>
          </w:p>
        </w:tc>
      </w:tr>
      <w:tr w:rsidR="007B5806" w:rsidRPr="007C33D9" w14:paraId="3E56C16A" w14:textId="77777777" w:rsidTr="007B5806">
        <w:trPr>
          <w:trHeight w:val="300"/>
        </w:trPr>
        <w:tc>
          <w:tcPr>
            <w:tcW w:w="2160" w:type="dxa"/>
            <w:shd w:val="clear" w:color="auto" w:fill="auto"/>
            <w:noWrap/>
            <w:hideMark/>
          </w:tcPr>
          <w:p w14:paraId="1FC338C7"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vulnerability analysis methodology</w:t>
            </w:r>
          </w:p>
        </w:tc>
        <w:tc>
          <w:tcPr>
            <w:tcW w:w="1440" w:type="dxa"/>
            <w:shd w:val="clear" w:color="auto" w:fill="auto"/>
            <w:noWrap/>
            <w:hideMark/>
          </w:tcPr>
          <w:p w14:paraId="1F65E9C2"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VAM</w:t>
            </w:r>
          </w:p>
        </w:tc>
        <w:tc>
          <w:tcPr>
            <w:tcW w:w="3600" w:type="dxa"/>
            <w:shd w:val="clear" w:color="auto" w:fill="auto"/>
            <w:noWrap/>
            <w:hideMark/>
          </w:tcPr>
          <w:p w14:paraId="23C58B8C"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A systematic approach that security experts use to detect vulnerabilities and determine the level of effectiveness of a physical protection system</w:t>
            </w:r>
          </w:p>
        </w:tc>
        <w:tc>
          <w:tcPr>
            <w:tcW w:w="3600" w:type="dxa"/>
            <w:shd w:val="clear" w:color="auto" w:fill="auto"/>
            <w:noWrap/>
            <w:hideMark/>
          </w:tcPr>
          <w:p w14:paraId="6C874C0E"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 xml:space="preserve">عبارة عن منهج نظامي يستخدمه خبراء الأمن </w:t>
            </w:r>
            <w:proofErr w:type="spellStart"/>
            <w:r w:rsidRPr="007C33D9">
              <w:rPr>
                <w:rFonts w:eastAsia="Times New Roman"/>
                <w:color w:val="000000"/>
                <w:rtl/>
              </w:rPr>
              <w:t>لإكتشاف</w:t>
            </w:r>
            <w:proofErr w:type="spellEnd"/>
            <w:r w:rsidRPr="007C33D9">
              <w:rPr>
                <w:rFonts w:eastAsia="Times New Roman"/>
                <w:color w:val="000000"/>
                <w:rtl/>
              </w:rPr>
              <w:t xml:space="preserve"> نقاط الضعف وتحديد مستوى فعالية نظام الأمن المادي.</w:t>
            </w:r>
          </w:p>
        </w:tc>
        <w:tc>
          <w:tcPr>
            <w:tcW w:w="1440" w:type="dxa"/>
            <w:shd w:val="clear" w:color="auto" w:fill="auto"/>
            <w:noWrap/>
            <w:hideMark/>
          </w:tcPr>
          <w:p w14:paraId="1D7D98E5"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t>VAM</w:t>
            </w:r>
          </w:p>
        </w:tc>
        <w:tc>
          <w:tcPr>
            <w:tcW w:w="2160" w:type="dxa"/>
            <w:shd w:val="clear" w:color="auto" w:fill="auto"/>
            <w:noWrap/>
            <w:hideMark/>
          </w:tcPr>
          <w:p w14:paraId="765F3A91"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منهجية تحليل نقاط الضعف</w:t>
            </w:r>
          </w:p>
        </w:tc>
      </w:tr>
      <w:tr w:rsidR="007B5806" w:rsidRPr="007C33D9" w14:paraId="53939216" w14:textId="77777777" w:rsidTr="007B5806">
        <w:trPr>
          <w:trHeight w:val="300"/>
        </w:trPr>
        <w:tc>
          <w:tcPr>
            <w:tcW w:w="2160" w:type="dxa"/>
            <w:shd w:val="clear" w:color="auto" w:fill="auto"/>
            <w:noWrap/>
            <w:hideMark/>
          </w:tcPr>
          <w:p w14:paraId="2146D959" w14:textId="77777777" w:rsidR="007B5806" w:rsidRPr="007C33D9" w:rsidRDefault="007B5806" w:rsidP="007B5806">
            <w:pPr>
              <w:spacing w:after="0" w:line="240" w:lineRule="auto"/>
              <w:rPr>
                <w:rFonts w:eastAsia="Times New Roman"/>
                <w:b/>
                <w:bCs/>
                <w:color w:val="000000"/>
              </w:rPr>
            </w:pPr>
            <w:r w:rsidRPr="007C33D9">
              <w:rPr>
                <w:rFonts w:eastAsia="Times New Roman"/>
                <w:b/>
                <w:bCs/>
                <w:color w:val="000000"/>
              </w:rPr>
              <w:lastRenderedPageBreak/>
              <w:t>vulnerability analysis team</w:t>
            </w:r>
          </w:p>
        </w:tc>
        <w:tc>
          <w:tcPr>
            <w:tcW w:w="1440" w:type="dxa"/>
            <w:shd w:val="clear" w:color="auto" w:fill="auto"/>
            <w:noWrap/>
            <w:hideMark/>
          </w:tcPr>
          <w:p w14:paraId="360CFD01" w14:textId="77777777" w:rsidR="007B5806" w:rsidRPr="007C33D9" w:rsidRDefault="007B5806" w:rsidP="007B5806">
            <w:pPr>
              <w:spacing w:after="0" w:line="240" w:lineRule="auto"/>
              <w:rPr>
                <w:rFonts w:eastAsia="Times New Roman"/>
                <w:b/>
                <w:bCs/>
                <w:color w:val="000000"/>
              </w:rPr>
            </w:pPr>
          </w:p>
        </w:tc>
        <w:tc>
          <w:tcPr>
            <w:tcW w:w="3600" w:type="dxa"/>
            <w:shd w:val="clear" w:color="auto" w:fill="auto"/>
            <w:noWrap/>
            <w:hideMark/>
          </w:tcPr>
          <w:p w14:paraId="2B52E8C1" w14:textId="77777777" w:rsidR="007B5806" w:rsidRPr="007C33D9" w:rsidRDefault="007B5806" w:rsidP="007B5806">
            <w:pPr>
              <w:spacing w:after="0" w:line="240" w:lineRule="auto"/>
              <w:rPr>
                <w:rFonts w:eastAsia="Times New Roman"/>
                <w:color w:val="000000"/>
              </w:rPr>
            </w:pPr>
            <w:r w:rsidRPr="007C33D9">
              <w:rPr>
                <w:rFonts w:eastAsia="Times New Roman"/>
                <w:color w:val="000000"/>
              </w:rPr>
              <w:t>The people responsible for planning, conducting, and reporting on a vulnerability analysis; team members of may include a project manager, a security system technologist(s), and subject matter experts from the site</w:t>
            </w:r>
          </w:p>
        </w:tc>
        <w:tc>
          <w:tcPr>
            <w:tcW w:w="3600" w:type="dxa"/>
            <w:shd w:val="clear" w:color="auto" w:fill="auto"/>
            <w:noWrap/>
            <w:hideMark/>
          </w:tcPr>
          <w:p w14:paraId="26B80257" w14:textId="77777777" w:rsidR="007B5806" w:rsidRPr="007C33D9" w:rsidRDefault="007B5806" w:rsidP="007B5806">
            <w:pPr>
              <w:bidi/>
              <w:spacing w:after="0" w:line="240" w:lineRule="auto"/>
              <w:rPr>
                <w:rFonts w:eastAsia="Times New Roman"/>
                <w:color w:val="000000"/>
              </w:rPr>
            </w:pPr>
            <w:r w:rsidRPr="007C33D9">
              <w:rPr>
                <w:rFonts w:eastAsia="Times New Roman"/>
                <w:color w:val="000000"/>
                <w:rtl/>
              </w:rPr>
              <w:t>الفريق المسؤول عن التخطيط والتنفيذ والإبلاغ عن نتائج تحليل نقاط الضعف؛ وقد يتضمن مدير المشروع، والخبراء الفنيين للنظام الأمني والخبراء المتخصصين من الموقع</w:t>
            </w:r>
          </w:p>
        </w:tc>
        <w:tc>
          <w:tcPr>
            <w:tcW w:w="1440" w:type="dxa"/>
            <w:shd w:val="clear" w:color="auto" w:fill="auto"/>
            <w:noWrap/>
            <w:hideMark/>
          </w:tcPr>
          <w:p w14:paraId="7C3E8F5B" w14:textId="77777777" w:rsidR="007B5806" w:rsidRPr="007C33D9" w:rsidRDefault="007B5806" w:rsidP="007B5806">
            <w:pPr>
              <w:spacing w:after="0" w:line="240" w:lineRule="auto"/>
              <w:rPr>
                <w:rFonts w:eastAsia="Times New Roman"/>
                <w:b/>
                <w:bCs/>
                <w:color w:val="000000"/>
              </w:rPr>
            </w:pPr>
          </w:p>
        </w:tc>
        <w:tc>
          <w:tcPr>
            <w:tcW w:w="2160" w:type="dxa"/>
            <w:shd w:val="clear" w:color="auto" w:fill="auto"/>
            <w:noWrap/>
            <w:hideMark/>
          </w:tcPr>
          <w:p w14:paraId="070E8867" w14:textId="77777777" w:rsidR="007B5806" w:rsidRPr="007C33D9" w:rsidRDefault="007B5806" w:rsidP="007B5806">
            <w:pPr>
              <w:bidi/>
              <w:spacing w:after="0" w:line="240" w:lineRule="auto"/>
              <w:rPr>
                <w:rFonts w:eastAsia="Times New Roman"/>
                <w:b/>
                <w:bCs/>
                <w:color w:val="000000"/>
              </w:rPr>
            </w:pPr>
            <w:r w:rsidRPr="007C33D9">
              <w:rPr>
                <w:rFonts w:eastAsia="Times New Roman"/>
                <w:b/>
                <w:bCs/>
                <w:color w:val="000000"/>
                <w:rtl/>
              </w:rPr>
              <w:t>فريق تحليل نقاط الضعف</w:t>
            </w:r>
          </w:p>
        </w:tc>
      </w:tr>
    </w:tbl>
    <w:p w14:paraId="5F583872" w14:textId="77777777" w:rsidR="00CB5630" w:rsidRDefault="00CB5630" w:rsidP="00CB5630">
      <w:pPr>
        <w:pStyle w:val="NoSpacing"/>
      </w:pPr>
    </w:p>
    <w:sectPr w:rsidR="00CB5630" w:rsidSect="00CB5630">
      <w:headerReference w:type="even" r:id="rId10"/>
      <w:headerReference w:type="default" r:id="rId11"/>
      <w:footerReference w:type="even" r:id="rId12"/>
      <w:footerReference w:type="default" r:id="rId13"/>
      <w:headerReference w:type="first" r:id="rId14"/>
      <w:footerReference w:type="first" r:id="rId1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54004" w14:textId="77777777" w:rsidR="00EC4DCE" w:rsidRDefault="00EC4DCE" w:rsidP="00CB5630">
      <w:pPr>
        <w:spacing w:after="0" w:line="240" w:lineRule="auto"/>
      </w:pPr>
      <w:r>
        <w:separator/>
      </w:r>
    </w:p>
  </w:endnote>
  <w:endnote w:type="continuationSeparator" w:id="0">
    <w:p w14:paraId="6DA6037B" w14:textId="77777777" w:rsidR="00EC4DCE" w:rsidRDefault="00EC4DCE" w:rsidP="00CB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FD8C" w14:textId="77777777" w:rsidR="00947C0B" w:rsidRDefault="00947C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2462"/>
      <w:gridCol w:w="1938"/>
    </w:tblGrid>
    <w:tr w:rsidR="00895113" w:rsidRPr="00A56C2F" w14:paraId="0B3BDADB" w14:textId="77777777" w:rsidTr="00895113">
      <w:tc>
        <w:tcPr>
          <w:tcW w:w="12462" w:type="dxa"/>
          <w:shd w:val="clear" w:color="auto" w:fill="auto"/>
        </w:tcPr>
        <w:p w14:paraId="41FD9559" w14:textId="7D986AF3" w:rsidR="00895113" w:rsidRPr="00895113" w:rsidRDefault="00947C0B" w:rsidP="00947C0B">
          <w:pPr>
            <w:pStyle w:val="ATAFooter"/>
            <w:rPr>
              <w:rStyle w:val="ATAFooterChar"/>
              <w:rFonts w:eastAsia="Arial Unicode MS"/>
              <w:color w:val="000000"/>
            </w:rPr>
          </w:pPr>
          <w:r w:rsidRPr="00947C0B">
            <w:rPr>
              <w:rFonts w:cs="Arial"/>
              <w:color w:val="000000"/>
              <w:szCs w:val="18"/>
            </w:rPr>
            <w:t>CISR Train The Trainer V1.00</w:t>
          </w:r>
        </w:p>
      </w:tc>
      <w:tc>
        <w:tcPr>
          <w:tcW w:w="1938" w:type="dxa"/>
          <w:shd w:val="clear" w:color="auto" w:fill="auto"/>
        </w:tcPr>
        <w:p w14:paraId="38576148" w14:textId="77777777" w:rsidR="00895113" w:rsidRPr="00F16863" w:rsidRDefault="00895113" w:rsidP="00895113">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7B5806">
            <w:rPr>
              <w:rStyle w:val="ATAFooterChar"/>
              <w:rFonts w:eastAsia="Arial Unicode MS"/>
              <w:noProof/>
            </w:rPr>
            <w:t>4</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7B5806">
            <w:rPr>
              <w:rStyle w:val="ATAFooterChar"/>
              <w:rFonts w:eastAsia="Arial Unicode MS"/>
              <w:noProof/>
            </w:rPr>
            <w:t>22</w:t>
          </w:r>
          <w:r w:rsidRPr="00F16863">
            <w:rPr>
              <w:rStyle w:val="ATAFooterChar"/>
              <w:rFonts w:eastAsia="Arial Unicode MS"/>
            </w:rPr>
            <w:fldChar w:fldCharType="end"/>
          </w:r>
        </w:p>
      </w:tc>
    </w:tr>
  </w:tbl>
  <w:p w14:paraId="1247B2EB" w14:textId="77777777" w:rsidR="00895113" w:rsidRPr="00E9494F" w:rsidRDefault="00895113" w:rsidP="00895113">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63A78D0D" w14:textId="4F418AAA" w:rsidR="00895113" w:rsidRPr="00895113" w:rsidRDefault="00947C0B" w:rsidP="00947C0B">
    <w:pPr>
      <w:pStyle w:val="Footer"/>
      <w:tabs>
        <w:tab w:val="clear" w:pos="4680"/>
        <w:tab w:val="clear" w:pos="9360"/>
        <w:tab w:val="left" w:pos="1470"/>
      </w:tabs>
      <w:spacing w:before="240" w:after="24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6450" w14:textId="77777777" w:rsidR="00947C0B" w:rsidRDefault="00947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E03F9" w14:textId="77777777" w:rsidR="00EC4DCE" w:rsidRDefault="00EC4DCE" w:rsidP="00CB5630">
      <w:pPr>
        <w:spacing w:after="0" w:line="240" w:lineRule="auto"/>
      </w:pPr>
      <w:r>
        <w:separator/>
      </w:r>
    </w:p>
  </w:footnote>
  <w:footnote w:type="continuationSeparator" w:id="0">
    <w:p w14:paraId="7BB590DF" w14:textId="77777777" w:rsidR="00EC4DCE" w:rsidRDefault="00EC4DCE" w:rsidP="00CB5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D166" w14:textId="77777777" w:rsidR="00947C0B" w:rsidRDefault="00947C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7200"/>
      <w:gridCol w:w="7200"/>
    </w:tblGrid>
    <w:tr w:rsidR="00895113" w:rsidRPr="00456B51" w14:paraId="05EADE5B" w14:textId="77777777" w:rsidTr="00895113">
      <w:tc>
        <w:tcPr>
          <w:tcW w:w="4788" w:type="dxa"/>
          <w:shd w:val="clear" w:color="auto" w:fill="auto"/>
          <w:vAlign w:val="bottom"/>
        </w:tcPr>
        <w:p w14:paraId="3B1A856E" w14:textId="77777777" w:rsidR="00895113" w:rsidRPr="00456B51" w:rsidRDefault="00895113" w:rsidP="00895113">
          <w:pPr>
            <w:pStyle w:val="ATAHeader"/>
          </w:pPr>
          <w:r>
            <w:rPr>
              <w:rFonts w:cs="Arial"/>
            </w:rPr>
            <w:t>Course Glossary</w:t>
          </w:r>
        </w:p>
      </w:tc>
      <w:tc>
        <w:tcPr>
          <w:tcW w:w="4788" w:type="dxa"/>
          <w:shd w:val="clear" w:color="auto" w:fill="auto"/>
          <w:vAlign w:val="bottom"/>
        </w:tcPr>
        <w:p w14:paraId="037DA335" w14:textId="77777777" w:rsidR="00895113" w:rsidRPr="00456B51" w:rsidRDefault="00895113" w:rsidP="00895113">
          <w:pPr>
            <w:pStyle w:val="ATAHeader"/>
            <w:jc w:val="right"/>
          </w:pPr>
        </w:p>
      </w:tc>
    </w:tr>
  </w:tbl>
  <w:p w14:paraId="1E610215" w14:textId="77777777" w:rsidR="00895113" w:rsidRPr="00895113" w:rsidRDefault="00895113" w:rsidP="008951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5945" w14:textId="77777777" w:rsidR="00947C0B" w:rsidRDefault="00947C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45A"/>
    <w:rsid w:val="0004432D"/>
    <w:rsid w:val="000B62F6"/>
    <w:rsid w:val="000F6D1B"/>
    <w:rsid w:val="001206EF"/>
    <w:rsid w:val="00190116"/>
    <w:rsid w:val="001D3313"/>
    <w:rsid w:val="00255641"/>
    <w:rsid w:val="00337EC9"/>
    <w:rsid w:val="004E42E2"/>
    <w:rsid w:val="005073F2"/>
    <w:rsid w:val="00592DB4"/>
    <w:rsid w:val="00682A5F"/>
    <w:rsid w:val="00691007"/>
    <w:rsid w:val="006B108C"/>
    <w:rsid w:val="007A245E"/>
    <w:rsid w:val="007B5806"/>
    <w:rsid w:val="007C33D9"/>
    <w:rsid w:val="00852F92"/>
    <w:rsid w:val="00895113"/>
    <w:rsid w:val="008B6657"/>
    <w:rsid w:val="008D218E"/>
    <w:rsid w:val="009025A7"/>
    <w:rsid w:val="00947C0B"/>
    <w:rsid w:val="009841F7"/>
    <w:rsid w:val="009A0FDF"/>
    <w:rsid w:val="00A72691"/>
    <w:rsid w:val="00B1797F"/>
    <w:rsid w:val="00B47DC6"/>
    <w:rsid w:val="00BB07FB"/>
    <w:rsid w:val="00C1145A"/>
    <w:rsid w:val="00C8393B"/>
    <w:rsid w:val="00CB5630"/>
    <w:rsid w:val="00CB73EA"/>
    <w:rsid w:val="00CF370C"/>
    <w:rsid w:val="00D45346"/>
    <w:rsid w:val="00DD10EB"/>
    <w:rsid w:val="00DF2AC3"/>
    <w:rsid w:val="00DF6EB5"/>
    <w:rsid w:val="00E74CBF"/>
    <w:rsid w:val="00EC4DCE"/>
    <w:rsid w:val="00EC65FA"/>
    <w:rsid w:val="00ED1A6B"/>
    <w:rsid w:val="00F31CE6"/>
    <w:rsid w:val="00F467E5"/>
    <w:rsid w:val="00F569EA"/>
    <w:rsid w:val="00FD5C5E"/>
    <w:rsid w:val="00FF14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0A47C"/>
  <w15:chartTrackingRefBased/>
  <w15:docId w15:val="{BAE9D9FD-7A77-42D2-9210-863108DB4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3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5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630"/>
  </w:style>
  <w:style w:type="paragraph" w:styleId="Footer">
    <w:name w:val="footer"/>
    <w:basedOn w:val="Normal"/>
    <w:link w:val="FooterChar"/>
    <w:uiPriority w:val="99"/>
    <w:unhideWhenUsed/>
    <w:rsid w:val="00CB5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630"/>
  </w:style>
  <w:style w:type="paragraph" w:customStyle="1" w:styleId="ATAModuleTitle">
    <w:name w:val="ATA Module Title"/>
    <w:link w:val="ATAModuleTitleChar"/>
    <w:qFormat/>
    <w:rsid w:val="00CB5630"/>
    <w:pPr>
      <w:pBdr>
        <w:top w:val="single" w:sz="8" w:space="1" w:color="auto"/>
        <w:bottom w:val="single" w:sz="8" w:space="1" w:color="auto"/>
      </w:pBdr>
      <w:shd w:val="clear" w:color="auto" w:fill="262626"/>
      <w:jc w:val="center"/>
    </w:pPr>
    <w:rPr>
      <w:rFonts w:ascii="Cambria" w:eastAsia="MS Mincho" w:hAnsi="Cambria"/>
      <w:b/>
      <w:caps/>
      <w:color w:val="F2F2F2"/>
      <w:sz w:val="24"/>
      <w:szCs w:val="24"/>
    </w:rPr>
  </w:style>
  <w:style w:type="character" w:customStyle="1" w:styleId="ATAModuleTitleChar">
    <w:name w:val="ATA Module Title Char"/>
    <w:link w:val="ATAModuleTitle"/>
    <w:rsid w:val="00CB5630"/>
    <w:rPr>
      <w:rFonts w:ascii="Cambria" w:eastAsia="MS Mincho" w:hAnsi="Cambria" w:cs="Times New Roman"/>
      <w:b/>
      <w:caps/>
      <w:color w:val="F2F2F2"/>
      <w:sz w:val="24"/>
      <w:szCs w:val="24"/>
      <w:shd w:val="clear" w:color="auto" w:fill="262626"/>
    </w:rPr>
  </w:style>
  <w:style w:type="paragraph" w:customStyle="1" w:styleId="ATATableBody">
    <w:name w:val="ATA Table Body"/>
    <w:link w:val="ATATableBodyChar"/>
    <w:uiPriority w:val="34"/>
    <w:rsid w:val="00CB5630"/>
    <w:pPr>
      <w:spacing w:before="40" w:after="40"/>
      <w:ind w:left="72"/>
    </w:pPr>
    <w:rPr>
      <w:rFonts w:ascii="Cambria" w:eastAsia="MS Mincho" w:hAnsi="Cambria"/>
      <w:color w:val="262626"/>
      <w:sz w:val="24"/>
      <w:szCs w:val="24"/>
    </w:rPr>
  </w:style>
  <w:style w:type="character" w:customStyle="1" w:styleId="ATATableBodyChar">
    <w:name w:val="ATA Table Body Char"/>
    <w:link w:val="ATATableBody"/>
    <w:uiPriority w:val="34"/>
    <w:rsid w:val="00CB5630"/>
    <w:rPr>
      <w:rFonts w:ascii="Cambria" w:eastAsia="MS Mincho" w:hAnsi="Cambria" w:cs="Times New Roman"/>
      <w:color w:val="262626"/>
      <w:sz w:val="24"/>
      <w:szCs w:val="24"/>
    </w:rPr>
  </w:style>
  <w:style w:type="paragraph" w:styleId="NoSpacing">
    <w:name w:val="No Spacing"/>
    <w:uiPriority w:val="1"/>
    <w:qFormat/>
    <w:rsid w:val="00CB5630"/>
    <w:rPr>
      <w:sz w:val="22"/>
      <w:szCs w:val="22"/>
    </w:rPr>
  </w:style>
  <w:style w:type="character" w:styleId="Hyperlink">
    <w:name w:val="Hyperlink"/>
    <w:uiPriority w:val="99"/>
    <w:semiHidden/>
    <w:unhideWhenUsed/>
    <w:rsid w:val="00895113"/>
    <w:rPr>
      <w:color w:val="0000FF"/>
      <w:u w:val="single"/>
    </w:rPr>
  </w:style>
  <w:style w:type="character" w:styleId="FollowedHyperlink">
    <w:name w:val="FollowedHyperlink"/>
    <w:uiPriority w:val="99"/>
    <w:semiHidden/>
    <w:unhideWhenUsed/>
    <w:rsid w:val="00895113"/>
    <w:rPr>
      <w:color w:val="800080"/>
      <w:u w:val="single"/>
    </w:rPr>
  </w:style>
  <w:style w:type="paragraph" w:customStyle="1" w:styleId="xl63">
    <w:name w:val="xl63"/>
    <w:basedOn w:val="Normal"/>
    <w:rsid w:val="00895113"/>
    <w:pPr>
      <w:spacing w:before="100" w:beforeAutospacing="1" w:after="100" w:afterAutospacing="1" w:line="240" w:lineRule="auto"/>
    </w:pPr>
    <w:rPr>
      <w:rFonts w:eastAsia="Times New Roman"/>
      <w:b/>
      <w:bCs/>
      <w:sz w:val="24"/>
      <w:szCs w:val="24"/>
    </w:rPr>
  </w:style>
  <w:style w:type="paragraph" w:customStyle="1" w:styleId="xl64">
    <w:name w:val="xl64"/>
    <w:basedOn w:val="Normal"/>
    <w:rsid w:val="00895113"/>
    <w:pPr>
      <w:spacing w:before="100" w:beforeAutospacing="1" w:after="100" w:afterAutospacing="1" w:line="240" w:lineRule="auto"/>
    </w:pPr>
    <w:rPr>
      <w:rFonts w:eastAsia="Times New Roman"/>
      <w:b/>
      <w:bCs/>
      <w:sz w:val="24"/>
      <w:szCs w:val="24"/>
    </w:rPr>
  </w:style>
  <w:style w:type="paragraph" w:customStyle="1" w:styleId="ATABody">
    <w:name w:val="ATA Body"/>
    <w:link w:val="ATABodyChar"/>
    <w:qFormat/>
    <w:rsid w:val="00895113"/>
    <w:rPr>
      <w:rFonts w:ascii="Cambria" w:eastAsia="Times New Roman" w:hAnsi="Cambria"/>
      <w:sz w:val="24"/>
      <w:szCs w:val="24"/>
    </w:rPr>
  </w:style>
  <w:style w:type="character" w:customStyle="1" w:styleId="ATABodyChar">
    <w:name w:val="ATA Body Char"/>
    <w:link w:val="ATABody"/>
    <w:locked/>
    <w:rsid w:val="00895113"/>
    <w:rPr>
      <w:rFonts w:ascii="Cambria" w:eastAsia="Times New Roman" w:hAnsi="Cambria"/>
      <w:sz w:val="24"/>
      <w:szCs w:val="24"/>
    </w:rPr>
  </w:style>
  <w:style w:type="paragraph" w:customStyle="1" w:styleId="ATAHeader">
    <w:name w:val="ATA Header"/>
    <w:link w:val="ATAHeaderChar"/>
    <w:qFormat/>
    <w:rsid w:val="00895113"/>
    <w:pPr>
      <w:tabs>
        <w:tab w:val="left" w:pos="0"/>
        <w:tab w:val="right" w:pos="9720"/>
      </w:tabs>
    </w:pPr>
    <w:rPr>
      <w:rFonts w:ascii="Arial" w:eastAsia="Times New Roman" w:hAnsi="Arial"/>
      <w:sz w:val="18"/>
      <w:szCs w:val="18"/>
    </w:rPr>
  </w:style>
  <w:style w:type="character" w:customStyle="1" w:styleId="ATAHeaderChar">
    <w:name w:val="ATA Header Char"/>
    <w:link w:val="ATAHeader"/>
    <w:rsid w:val="00895113"/>
    <w:rPr>
      <w:rFonts w:ascii="Arial" w:eastAsia="Times New Roman" w:hAnsi="Arial"/>
      <w:sz w:val="18"/>
      <w:szCs w:val="18"/>
    </w:rPr>
  </w:style>
  <w:style w:type="character" w:styleId="PlaceholderText">
    <w:name w:val="Placeholder Text"/>
    <w:uiPriority w:val="34"/>
    <w:semiHidden/>
    <w:rsid w:val="00895113"/>
    <w:rPr>
      <w:color w:val="808080"/>
    </w:rPr>
  </w:style>
  <w:style w:type="paragraph" w:customStyle="1" w:styleId="ATAFooter">
    <w:name w:val="ATA Footer"/>
    <w:link w:val="ATAFooterChar"/>
    <w:rsid w:val="00895113"/>
    <w:pPr>
      <w:tabs>
        <w:tab w:val="left" w:pos="0"/>
        <w:tab w:val="right" w:pos="8640"/>
      </w:tabs>
    </w:pPr>
    <w:rPr>
      <w:rFonts w:ascii="Arial" w:eastAsia="Times New Roman" w:hAnsi="Arial"/>
      <w:sz w:val="18"/>
      <w:szCs w:val="24"/>
    </w:rPr>
  </w:style>
  <w:style w:type="character" w:customStyle="1" w:styleId="ATAFooterChar">
    <w:name w:val="ATA Footer Char"/>
    <w:link w:val="ATAFooter"/>
    <w:rsid w:val="00895113"/>
    <w:rPr>
      <w:rFonts w:ascii="Arial" w:eastAsia="Times New Roman"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464">
      <w:bodyDiv w:val="1"/>
      <w:marLeft w:val="0"/>
      <w:marRight w:val="0"/>
      <w:marTop w:val="0"/>
      <w:marBottom w:val="0"/>
      <w:divBdr>
        <w:top w:val="none" w:sz="0" w:space="0" w:color="auto"/>
        <w:left w:val="none" w:sz="0" w:space="0" w:color="auto"/>
        <w:bottom w:val="none" w:sz="0" w:space="0" w:color="auto"/>
        <w:right w:val="none" w:sz="0" w:space="0" w:color="auto"/>
      </w:divBdr>
    </w:div>
    <w:div w:id="437333300">
      <w:bodyDiv w:val="1"/>
      <w:marLeft w:val="0"/>
      <w:marRight w:val="0"/>
      <w:marTop w:val="0"/>
      <w:marBottom w:val="0"/>
      <w:divBdr>
        <w:top w:val="none" w:sz="0" w:space="0" w:color="auto"/>
        <w:left w:val="none" w:sz="0" w:space="0" w:color="auto"/>
        <w:bottom w:val="none" w:sz="0" w:space="0" w:color="auto"/>
        <w:right w:val="none" w:sz="0" w:space="0" w:color="auto"/>
      </w:divBdr>
    </w:div>
    <w:div w:id="476918393">
      <w:bodyDiv w:val="1"/>
      <w:marLeft w:val="0"/>
      <w:marRight w:val="0"/>
      <w:marTop w:val="0"/>
      <w:marBottom w:val="0"/>
      <w:divBdr>
        <w:top w:val="none" w:sz="0" w:space="0" w:color="auto"/>
        <w:left w:val="none" w:sz="0" w:space="0" w:color="auto"/>
        <w:bottom w:val="none" w:sz="0" w:space="0" w:color="auto"/>
        <w:right w:val="none" w:sz="0" w:space="0" w:color="auto"/>
      </w:divBdr>
    </w:div>
    <w:div w:id="597253275">
      <w:bodyDiv w:val="1"/>
      <w:marLeft w:val="0"/>
      <w:marRight w:val="0"/>
      <w:marTop w:val="0"/>
      <w:marBottom w:val="0"/>
      <w:divBdr>
        <w:top w:val="none" w:sz="0" w:space="0" w:color="auto"/>
        <w:left w:val="none" w:sz="0" w:space="0" w:color="auto"/>
        <w:bottom w:val="none" w:sz="0" w:space="0" w:color="auto"/>
        <w:right w:val="none" w:sz="0" w:space="0" w:color="auto"/>
      </w:divBdr>
    </w:div>
    <w:div w:id="702707837">
      <w:bodyDiv w:val="1"/>
      <w:marLeft w:val="0"/>
      <w:marRight w:val="0"/>
      <w:marTop w:val="0"/>
      <w:marBottom w:val="0"/>
      <w:divBdr>
        <w:top w:val="none" w:sz="0" w:space="0" w:color="auto"/>
        <w:left w:val="none" w:sz="0" w:space="0" w:color="auto"/>
        <w:bottom w:val="none" w:sz="0" w:space="0" w:color="auto"/>
        <w:right w:val="none" w:sz="0" w:space="0" w:color="auto"/>
      </w:divBdr>
    </w:div>
    <w:div w:id="893275814">
      <w:bodyDiv w:val="1"/>
      <w:marLeft w:val="0"/>
      <w:marRight w:val="0"/>
      <w:marTop w:val="0"/>
      <w:marBottom w:val="0"/>
      <w:divBdr>
        <w:top w:val="none" w:sz="0" w:space="0" w:color="auto"/>
        <w:left w:val="none" w:sz="0" w:space="0" w:color="auto"/>
        <w:bottom w:val="none" w:sz="0" w:space="0" w:color="auto"/>
        <w:right w:val="none" w:sz="0" w:space="0" w:color="auto"/>
      </w:divBdr>
    </w:div>
    <w:div w:id="999891685">
      <w:bodyDiv w:val="1"/>
      <w:marLeft w:val="0"/>
      <w:marRight w:val="0"/>
      <w:marTop w:val="0"/>
      <w:marBottom w:val="0"/>
      <w:divBdr>
        <w:top w:val="none" w:sz="0" w:space="0" w:color="auto"/>
        <w:left w:val="none" w:sz="0" w:space="0" w:color="auto"/>
        <w:bottom w:val="none" w:sz="0" w:space="0" w:color="auto"/>
        <w:right w:val="none" w:sz="0" w:space="0" w:color="auto"/>
      </w:divBdr>
    </w:div>
    <w:div w:id="1448741229">
      <w:bodyDiv w:val="1"/>
      <w:marLeft w:val="0"/>
      <w:marRight w:val="0"/>
      <w:marTop w:val="0"/>
      <w:marBottom w:val="0"/>
      <w:divBdr>
        <w:top w:val="none" w:sz="0" w:space="0" w:color="auto"/>
        <w:left w:val="none" w:sz="0" w:space="0" w:color="auto"/>
        <w:bottom w:val="none" w:sz="0" w:space="0" w:color="auto"/>
        <w:right w:val="none" w:sz="0" w:space="0" w:color="auto"/>
      </w:divBdr>
    </w:div>
    <w:div w:id="1994940881">
      <w:bodyDiv w:val="1"/>
      <w:marLeft w:val="0"/>
      <w:marRight w:val="0"/>
      <w:marTop w:val="0"/>
      <w:marBottom w:val="0"/>
      <w:divBdr>
        <w:top w:val="none" w:sz="0" w:space="0" w:color="auto"/>
        <w:left w:val="none" w:sz="0" w:space="0" w:color="auto"/>
        <w:bottom w:val="none" w:sz="0" w:space="0" w:color="auto"/>
        <w:right w:val="none" w:sz="0" w:space="0" w:color="auto"/>
      </w:divBdr>
    </w:div>
    <w:div w:id="209632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lders xmlns="0b39b100-34c8-42a1-9ad6-b6ff7a1420fd">Individual Handouts</Folders>
    <LS_x0020_Folder xmlns="0b39b100-34c8-42a1-9ad6-b6ff7a1420fd">EFG</LS_x0020_Folder>
    <Languages xmlns="0b39b100-34c8-42a1-9ad6-b6ff7a1420fd">Arabic</Languages>
    <Print xmlns="0b39b100-34c8-42a1-9ad6-b6ff7a1420fd"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551F65A596BA41B3A43279701C5FCA" ma:contentTypeVersion="17" ma:contentTypeDescription="Create a new document." ma:contentTypeScope="" ma:versionID="d5d4137cd09d1c8d52afbbf924fb610b">
  <xsd:schema xmlns:xsd="http://www.w3.org/2001/XMLSchema" xmlns:xs="http://www.w3.org/2001/XMLSchema" xmlns:p="http://schemas.microsoft.com/office/2006/metadata/properties" xmlns:ns2="0b39b100-34c8-42a1-9ad6-b6ff7a1420fd" xmlns:ns3="8e5adf1f-43c2-470f-935e-dff54b24dae6" targetNamespace="http://schemas.microsoft.com/office/2006/metadata/properties" ma:root="true" ma:fieldsID="5c445aae1b89def5e077f0dadf63a326" ns2:_="" ns3:_="">
    <xsd:import namespace="0b39b100-34c8-42a1-9ad6-b6ff7a1420fd"/>
    <xsd:import namespace="8e5adf1f-43c2-470f-935e-dff54b24dae6"/>
    <xsd:element name="properties">
      <xsd:complexType>
        <xsd:sequence>
          <xsd:element name="documentManagement">
            <xsd:complexType>
              <xsd:all>
                <xsd:element ref="ns2:Folders" minOccurs="0"/>
                <xsd:element ref="ns2:Languages" minOccurs="0"/>
                <xsd:element ref="ns3:MediaServiceMetadata" minOccurs="0"/>
                <xsd:element ref="ns3:MediaServiceFastMetadata" minOccurs="0"/>
                <xsd:element ref="ns3:MediaServiceDateTaken" minOccurs="0"/>
                <xsd:element ref="ns2:LS_x0020_Folder" minOccurs="0"/>
                <xsd:element ref="ns2:SharedWithUsers" minOccurs="0"/>
                <xsd:element ref="ns2:SharedWithDetails" minOccurs="0"/>
                <xsd:element ref="ns3:MediaLengthInSeconds" minOccurs="0"/>
                <xsd:element ref="ns3:MediaServiceAutoTags" minOccurs="0"/>
                <xsd:element ref="ns3:MediaServiceObjectDetectorVersions" minOccurs="0"/>
                <xsd:element ref="ns3:MediaServiceGenerationTime" minOccurs="0"/>
                <xsd:element ref="ns3:MediaServiceEventHashCode" minOccurs="0"/>
                <xsd:element ref="ns3:MediaServiceSearchProperties" minOccurs="0"/>
                <xsd:element ref="ns2:Pri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restriction>
      </xsd:simpleType>
    </xsd:element>
    <xsd:element name="Languages" ma:index="9" nillable="true" ma:displayName="Languages" ma:format="Dropdown" ma:internalName="Languages">
      <xsd:simpleType>
        <xsd:restriction base="dms:Choice">
          <xsd:enumeration value="Albanian"/>
          <xsd:enumeration value="Amharic"/>
          <xsd:enumeration value="Arabic"/>
          <xsd:enumeration value="Azeri"/>
          <xsd:enumeration value="Bengali"/>
          <xsd:enumeration value="Bosnian"/>
          <xsd:enumeration value="Bulgarian"/>
          <xsd:enumeration value="Croatian"/>
          <xsd:enumeration value="Dari"/>
          <xsd:enumeration value="English"/>
          <xsd:enumeration value="French"/>
          <xsd:enumeration value="Georgian"/>
          <xsd:enumeration value="Greek"/>
          <xsd:enumeration value="Indonesian"/>
          <xsd:enumeration value="Kurdish"/>
          <xsd:enumeration value="Kyrgyz"/>
          <xsd:enumeration value="Macedonian"/>
          <xsd:enumeration value="Nepal"/>
          <xsd:enumeration value="Portuguese"/>
          <xsd:enumeration value="Russian"/>
          <xsd:enumeration value="Serbian"/>
          <xsd:enumeration value="Singala"/>
          <xsd:enumeration value="Somali"/>
          <xsd:enumeration value="Spanish"/>
          <xsd:enumeration value="Tajik"/>
          <xsd:enumeration value="Thai"/>
          <xsd:enumeration value="Turkish"/>
          <xsd:enumeration value="Turkmen"/>
          <xsd:enumeration value="Urdu"/>
          <xsd:enumeration value="Uzbek"/>
        </xsd:restriction>
      </xsd:simpleType>
    </xsd:element>
    <xsd:element name="LS_x0020_Folder" ma:index="13"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Print" ma:index="22"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8e5adf1f-43c2-470f-935e-dff54b24dae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0D8634-AB22-4C3E-BF13-298BF7A9A8D0}">
  <ds:schemaRefs>
    <ds:schemaRef ds:uri="http://schemas.microsoft.com/office/2006/metadata/properties"/>
    <ds:schemaRef ds:uri="http://schemas.microsoft.com/office/infopath/2007/PartnerControls"/>
    <ds:schemaRef ds:uri="0b39b100-34c8-42a1-9ad6-b6ff7a1420fd"/>
  </ds:schemaRefs>
</ds:datastoreItem>
</file>

<file path=customXml/itemProps2.xml><?xml version="1.0" encoding="utf-8"?>
<ds:datastoreItem xmlns:ds="http://schemas.openxmlformats.org/officeDocument/2006/customXml" ds:itemID="{859E23E0-51DA-4CDF-931E-73274D3ECE59}">
  <ds:schemaRefs>
    <ds:schemaRef ds:uri="http://schemas.microsoft.com/office/2006/metadata/longProperties"/>
  </ds:schemaRefs>
</ds:datastoreItem>
</file>

<file path=customXml/itemProps3.xml><?xml version="1.0" encoding="utf-8"?>
<ds:datastoreItem xmlns:ds="http://schemas.openxmlformats.org/officeDocument/2006/customXml" ds:itemID="{623CAAC6-9CDD-4639-BC48-61518AB83D4D}">
  <ds:schemaRefs>
    <ds:schemaRef ds:uri="http://schemas.microsoft.com/sharepoint/v3/contenttype/forms"/>
  </ds:schemaRefs>
</ds:datastoreItem>
</file>

<file path=customXml/itemProps4.xml><?xml version="1.0" encoding="utf-8"?>
<ds:datastoreItem xmlns:ds="http://schemas.openxmlformats.org/officeDocument/2006/customXml" ds:itemID="{DDA8C214-7F27-4932-A478-2116EDADCE55}"/>
</file>

<file path=docProps/app.xml><?xml version="1.0" encoding="utf-8"?>
<Properties xmlns="http://schemas.openxmlformats.org/officeDocument/2006/extended-properties" xmlns:vt="http://schemas.openxmlformats.org/officeDocument/2006/docPropsVTypes">
  <Template>Normal</Template>
  <TotalTime>1</TotalTime>
  <Pages>23</Pages>
  <Words>7146</Words>
  <Characters>40733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Elias</dc:creator>
  <cp:keywords/>
  <cp:lastModifiedBy>Shehab, Hussain</cp:lastModifiedBy>
  <cp:revision>3</cp:revision>
  <dcterms:created xsi:type="dcterms:W3CDTF">2025-03-31T20:00:00Z</dcterms:created>
  <dcterms:modified xsi:type="dcterms:W3CDTF">2025-08-18T14:01:00Z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2025-03-31T20:00:06Z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ecd090ab-3a0e-4f0e-bed9-bbee4453bf06</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y fmtid="{D5CDD505-2E9C-101B-9397-08002B2CF9AE}" pid="10" name="ContentTypeId">
    <vt:lpwstr>0x0101001F551F65A596BA41B3A43279701C5FCA</vt:lpwstr>
  </property>
</Properties>
</file>